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1D" w:rsidRPr="006C461D" w:rsidRDefault="006C461D" w:rsidP="006C461D">
      <w:pPr>
        <w:shd w:val="clear" w:color="auto" w:fill="FFFFFF"/>
        <w:spacing w:after="0" w:line="253" w:lineRule="atLeast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ru-RU"/>
        </w:rPr>
      </w:pPr>
      <w:r w:rsidRPr="006C461D"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ru-RU"/>
        </w:rPr>
        <w:t>Сельские поселения вернут финансовую помощь в районный бюджет</w:t>
      </w:r>
    </w:p>
    <w:p w:rsidR="006C461D" w:rsidRPr="006C461D" w:rsidRDefault="006C461D" w:rsidP="006C461D">
      <w:pPr>
        <w:shd w:val="clear" w:color="auto" w:fill="FFFFFF"/>
        <w:spacing w:line="253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6C461D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03 Июн</w:t>
      </w:r>
      <w:r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ь</w:t>
      </w:r>
      <w:r w:rsidRPr="006C461D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2015</w:t>
      </w:r>
      <w:r w:rsidRPr="006C461D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6C461D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→</w:t>
      </w:r>
      <w:r w:rsidRPr="006C461D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hyperlink r:id="rId4" w:history="1">
        <w:r w:rsidRPr="006C461D">
          <w:rPr>
            <w:rFonts w:ascii="Tahoma" w:eastAsia="Times New Roman" w:hAnsi="Tahoma" w:cs="Tahoma"/>
            <w:color w:val="656565"/>
            <w:sz w:val="20"/>
            <w:szCs w:val="20"/>
            <w:bdr w:val="none" w:sz="0" w:space="0" w:color="auto" w:frame="1"/>
            <w:lang w:eastAsia="ru-RU"/>
          </w:rPr>
          <w:t>Экономика</w:t>
        </w:r>
      </w:hyperlink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</w:pPr>
      <w:r w:rsidRPr="006C461D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Часть средств, выделенных в прошлом году из районного бюджета сельским поселениям в виде финансовой помощи, из-за нарушений в использовании придётся вернуть.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Такие выводы сделала Контрольно-счётная палата (КСП) после проведённой проверки </w:t>
      </w: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Висимского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и </w:t>
      </w: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Вильвенского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сельских поселений.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Висимскому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поселению в августе и сентябре прошлого года в целом выделяли 1 миллион рублей на покрытие текущих расходов. Деньги были освоены по назначению, но во время проверки администрация поселения не представила документы, подтверждающие использование почти половины средств — 464,3 тысячи рублей! «Анализ (…) показал отсутствие документов, подтверждающих обоснованность оказания услуг по данным договорам (акт, дефектная ведомость и др.), отсутствие в договорах информации о месте оказания услуг, расчётов стоимости, количества, то есть существенных условий, необходимых для определения конечной стоимости», — говорится в материалах проверки КСП.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В декабре на счёт </w:t>
      </w: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Висимского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поселения поступило ещё 700 тысяч рублей. Но из них по целевому назначению ушло только 277 тысяч. Остальные деньги истрачены по статьям, на которые помощь не была предусмотрена.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Таким образом, 482 тысячи рублей, использованные не по целевому назначению, поселению необходимо вернуть в районный бюджет.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Вильвенскому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сельскому поселению в прошлом году была оказана помощь из районного бюджета на сумму 2,3 миллиона рублей. «Администрацией не представлены документы, подтверждающие целевое использование средств финансовой помощи в сумме 800 тысяч рублей», – сообщает КСП. Эти деньги </w:t>
      </w:r>
      <w:proofErr w:type="spellStart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Вильвенскому</w:t>
      </w:r>
      <w:proofErr w:type="spellEnd"/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поселению также необходимо возместить в районный бюджет.</w:t>
      </w:r>
    </w:p>
    <w:p w:rsidR="006C461D" w:rsidRPr="006C461D" w:rsidRDefault="006C461D" w:rsidP="006C461D">
      <w:pPr>
        <w:shd w:val="clear" w:color="auto" w:fill="FFFFFF"/>
        <w:spacing w:before="225" w:after="225" w:line="253" w:lineRule="atLeast"/>
        <w:jc w:val="both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6C461D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Материалы проверки были озвучены на Земском собрании. Отчёт депутаты приняли к сведению, администрации района рекомендовано разработать план мероприятий по оказанию методической помощи сельским поселениям по финансовым вопросам.</w:t>
      </w:r>
    </w:p>
    <w:p w:rsidR="00A91DF9" w:rsidRDefault="006C461D" w:rsidP="006C461D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МЕЛ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АНИНА</w:t>
      </w:r>
    </w:p>
    <w:sectPr w:rsidR="00A9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1D"/>
    <w:rsid w:val="006C461D"/>
    <w:rsid w:val="00A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7B6A-7ABA-4A99-A897-3585FF1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2015-07-02T10:45:00Z</dcterms:created>
  <dcterms:modified xsi:type="dcterms:W3CDTF">2015-07-02T10:50:00Z</dcterms:modified>
</cp:coreProperties>
</file>