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2F" w:rsidRDefault="00D2692F">
      <w:pPr>
        <w:pStyle w:val="a4"/>
        <w:ind w:left="808"/>
        <w:rPr>
          <w:sz w:val="20"/>
        </w:rPr>
      </w:pPr>
    </w:p>
    <w:p w:rsidR="00D2692F" w:rsidRDefault="00D3249C">
      <w:pPr>
        <w:pStyle w:val="a4"/>
        <w:spacing w:before="229"/>
        <w:ind w:left="0"/>
        <w:rPr>
          <w:sz w:val="36"/>
        </w:rPr>
      </w:pP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2537616</wp:posOffset>
                </wp:positionH>
                <wp:positionV relativeFrom="paragraph">
                  <wp:posOffset>115858</wp:posOffset>
                </wp:positionV>
                <wp:extent cx="2268244" cy="905773"/>
                <wp:effectExtent l="0" t="0" r="0" b="889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244" cy="905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49C" w:rsidRPr="00A601C0" w:rsidRDefault="00D3249C" w:rsidP="00D3249C">
                            <w:r w:rsidRPr="00A601C0">
                              <w:t>УТВЕРЖДЁН</w:t>
                            </w:r>
                          </w:p>
                          <w:p w:rsidR="00D3249C" w:rsidRPr="00A601C0" w:rsidRDefault="00D3249C" w:rsidP="00D3249C">
                            <w:r w:rsidRPr="00A601C0">
                              <w:t xml:space="preserve">приказом Министерства здравоохранения Пермского края </w:t>
                            </w:r>
                          </w:p>
                          <w:p w:rsidR="00D3249C" w:rsidRPr="00A601C0" w:rsidRDefault="00D3249C" w:rsidP="00D3249C">
                            <w:r w:rsidRPr="00A601C0">
                              <w:t>от                        №</w:t>
                            </w:r>
                          </w:p>
                          <w:p w:rsidR="00D3249C" w:rsidRDefault="00D324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199.8pt;margin-top:9.1pt;width:178.6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" fillcolor="white [3201]" stroked="f" strokeweight=".5pt">
                <v:textbox>
                  <w:txbxContent>
                    <w:p w:rsidR="00D3249C" w:rsidRPr="00A601C0" w:rsidRDefault="00D3249C" w:rsidP="00D3249C">
                      <w:r w:rsidRPr="00A601C0">
                        <w:t>УТВЕРЖДЁН</w:t>
                      </w:r>
                    </w:p>
                    <w:p w:rsidR="00D3249C" w:rsidRPr="00A601C0" w:rsidRDefault="00D3249C" w:rsidP="00D3249C">
                      <w:r w:rsidRPr="00A601C0">
                        <w:t xml:space="preserve">приказом Министерства здравоохранения Пермского края </w:t>
                      </w:r>
                    </w:p>
                    <w:p w:rsidR="00D3249C" w:rsidRPr="00A601C0" w:rsidRDefault="00D3249C" w:rsidP="00D3249C">
                      <w:r w:rsidRPr="00A601C0">
                        <w:t>от                        №</w:t>
                      </w:r>
                    </w:p>
                    <w:p w:rsidR="00D3249C" w:rsidRDefault="00D3249C"/>
                  </w:txbxContent>
                </v:textbox>
              </v:shape>
            </w:pict>
          </mc:Fallback>
        </mc:AlternateContent>
      </w:r>
    </w:p>
    <w:p w:rsidR="00D2692F" w:rsidRDefault="00D2692F">
      <w:pPr>
        <w:pStyle w:val="a5"/>
      </w:pPr>
    </w:p>
    <w:p w:rsidR="00D2692F" w:rsidRDefault="00D2692F">
      <w:pPr>
        <w:pStyle w:val="a5"/>
      </w:pPr>
    </w:p>
    <w:p w:rsidR="00D2692F" w:rsidRDefault="00D2692F">
      <w:pPr>
        <w:pStyle w:val="a5"/>
      </w:pPr>
    </w:p>
    <w:p w:rsidR="00D2692F" w:rsidRDefault="00AF3B3B">
      <w:pPr>
        <w:pStyle w:val="a5"/>
        <w:outlineLvl w:val="0"/>
      </w:pPr>
      <w:r>
        <w:t>Организация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проведение</w:t>
      </w:r>
      <w:r>
        <w:rPr>
          <w:spacing w:val="-14"/>
        </w:rPr>
        <w:t xml:space="preserve"> </w:t>
      </w:r>
      <w:r>
        <w:t>лекций</w:t>
      </w:r>
      <w:r>
        <w:t xml:space="preserve"> для пациентов с </w:t>
      </w:r>
      <w:r>
        <w:t>хронической</w:t>
      </w:r>
      <w:r>
        <w:t xml:space="preserve"> сердечной недостаточностью</w:t>
      </w:r>
    </w:p>
    <w:p w:rsidR="00D2692F" w:rsidRDefault="00D2692F">
      <w:pPr>
        <w:spacing w:line="408" w:lineRule="exact"/>
        <w:ind w:left="388" w:right="364"/>
        <w:jc w:val="center"/>
        <w:rPr>
          <w:sz w:val="36"/>
        </w:rPr>
      </w:pPr>
    </w:p>
    <w:p w:rsidR="00D2692F" w:rsidRDefault="00AF3B3B">
      <w:pPr>
        <w:spacing w:line="408" w:lineRule="exact"/>
        <w:ind w:left="388" w:right="364"/>
        <w:jc w:val="center"/>
        <w:rPr>
          <w:sz w:val="36"/>
        </w:rPr>
      </w:pPr>
      <w:r>
        <w:rPr>
          <w:sz w:val="36"/>
        </w:rPr>
        <w:t>(школа</w:t>
      </w:r>
      <w:r>
        <w:rPr>
          <w:spacing w:val="1"/>
          <w:sz w:val="36"/>
        </w:rPr>
        <w:t xml:space="preserve"> </w:t>
      </w:r>
      <w:r>
        <w:rPr>
          <w:spacing w:val="-2"/>
          <w:sz w:val="36"/>
        </w:rPr>
        <w:t>пациента)</w:t>
      </w:r>
    </w:p>
    <w:p w:rsidR="00D2692F" w:rsidRDefault="00AF3B3B">
      <w:pPr>
        <w:spacing w:before="324"/>
        <w:ind w:left="848" w:right="823"/>
        <w:jc w:val="center"/>
        <w:rPr>
          <w:sz w:val="28"/>
        </w:rPr>
      </w:pPr>
      <w:r>
        <w:rPr>
          <w:sz w:val="28"/>
        </w:rPr>
        <w:t>Методические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рекомендации</w:t>
      </w:r>
    </w:p>
    <w:p w:rsidR="00D2692F" w:rsidRDefault="00D2692F">
      <w:pPr>
        <w:pStyle w:val="a4"/>
        <w:ind w:left="0"/>
        <w:rPr>
          <w:sz w:val="28"/>
        </w:rPr>
      </w:pPr>
    </w:p>
    <w:p w:rsidR="00D2692F" w:rsidRDefault="00D2692F">
      <w:pPr>
        <w:pStyle w:val="a4"/>
        <w:ind w:left="0"/>
        <w:rPr>
          <w:sz w:val="28"/>
        </w:rPr>
      </w:pPr>
    </w:p>
    <w:p w:rsidR="00D2692F" w:rsidRDefault="00D2692F">
      <w:pPr>
        <w:pStyle w:val="a4"/>
        <w:ind w:left="0"/>
        <w:rPr>
          <w:sz w:val="28"/>
        </w:rPr>
      </w:pPr>
      <w:bookmarkStart w:id="0" w:name="_GoBack"/>
      <w:bookmarkEnd w:id="0"/>
    </w:p>
    <w:p w:rsidR="00D2692F" w:rsidRDefault="00D2692F">
      <w:pPr>
        <w:pStyle w:val="a4"/>
        <w:ind w:left="0"/>
        <w:rPr>
          <w:sz w:val="28"/>
        </w:rPr>
      </w:pPr>
    </w:p>
    <w:p w:rsidR="00D2692F" w:rsidRDefault="00D2692F">
      <w:pPr>
        <w:pStyle w:val="a4"/>
        <w:ind w:left="0"/>
        <w:rPr>
          <w:sz w:val="28"/>
        </w:rPr>
      </w:pPr>
    </w:p>
    <w:p w:rsidR="00D2692F" w:rsidRDefault="00D2692F">
      <w:pPr>
        <w:pStyle w:val="a4"/>
        <w:ind w:left="0"/>
        <w:rPr>
          <w:sz w:val="28"/>
        </w:rPr>
      </w:pPr>
    </w:p>
    <w:p w:rsidR="00D2692F" w:rsidRDefault="00D2692F">
      <w:pPr>
        <w:pStyle w:val="a4"/>
        <w:ind w:left="0"/>
        <w:rPr>
          <w:sz w:val="28"/>
        </w:rPr>
      </w:pPr>
    </w:p>
    <w:p w:rsidR="00D2692F" w:rsidRDefault="00D2692F">
      <w:pPr>
        <w:pStyle w:val="a4"/>
        <w:ind w:left="0"/>
        <w:rPr>
          <w:sz w:val="28"/>
        </w:rPr>
      </w:pPr>
    </w:p>
    <w:p w:rsidR="00D2692F" w:rsidRDefault="00D2692F">
      <w:pPr>
        <w:pStyle w:val="a4"/>
        <w:ind w:left="0"/>
        <w:rPr>
          <w:sz w:val="28"/>
        </w:rPr>
      </w:pPr>
    </w:p>
    <w:p w:rsidR="00D2692F" w:rsidRDefault="00D2692F">
      <w:pPr>
        <w:pStyle w:val="a4"/>
        <w:ind w:left="0"/>
        <w:rPr>
          <w:sz w:val="28"/>
        </w:rPr>
      </w:pPr>
    </w:p>
    <w:p w:rsidR="00D2692F" w:rsidRDefault="00D2692F">
      <w:pPr>
        <w:pStyle w:val="a4"/>
        <w:spacing w:before="68"/>
        <w:ind w:left="0"/>
        <w:rPr>
          <w:sz w:val="28"/>
        </w:rPr>
      </w:pPr>
    </w:p>
    <w:p w:rsidR="00D2692F" w:rsidRDefault="00D2692F">
      <w:pPr>
        <w:jc w:val="center"/>
        <w:rPr>
          <w:spacing w:val="-2"/>
          <w:sz w:val="28"/>
        </w:rPr>
      </w:pPr>
    </w:p>
    <w:p w:rsidR="00D2692F" w:rsidRDefault="00D2692F">
      <w:pPr>
        <w:jc w:val="center"/>
        <w:rPr>
          <w:spacing w:val="-2"/>
          <w:sz w:val="28"/>
        </w:rPr>
      </w:pPr>
    </w:p>
    <w:p w:rsidR="00D2692F" w:rsidRPr="00D3249C" w:rsidRDefault="00AF3B3B">
      <w:pPr>
        <w:jc w:val="center"/>
        <w:rPr>
          <w:sz w:val="24"/>
          <w:szCs w:val="24"/>
        </w:rPr>
        <w:sectPr w:rsidR="00D2692F" w:rsidRPr="00D3249C">
          <w:type w:val="continuous"/>
          <w:pgSz w:w="8420" w:h="11910"/>
          <w:pgMar w:top="620" w:right="141" w:bottom="280" w:left="283" w:header="720" w:footer="720" w:gutter="0"/>
          <w:cols w:space="720"/>
        </w:sectPr>
      </w:pPr>
      <w:r>
        <w:rPr>
          <w:spacing w:val="-2"/>
          <w:sz w:val="28"/>
        </w:rPr>
        <w:t xml:space="preserve"> </w:t>
      </w:r>
      <w:r w:rsidRPr="00D3249C">
        <w:rPr>
          <w:spacing w:val="-2"/>
          <w:sz w:val="24"/>
          <w:szCs w:val="24"/>
        </w:rPr>
        <w:t xml:space="preserve">Пермь 2025  </w:t>
      </w:r>
    </w:p>
    <w:p w:rsidR="00D2692F" w:rsidRDefault="00AF3B3B" w:rsidP="00A56DFD">
      <w:pPr>
        <w:pStyle w:val="a4"/>
        <w:ind w:left="0" w:firstLine="709"/>
        <w:jc w:val="both"/>
      </w:pPr>
      <w:r>
        <w:lastRenderedPageBreak/>
        <w:t xml:space="preserve">Методические рекомендации  разработаны на основании </w:t>
      </w:r>
      <w:r>
        <w:t xml:space="preserve">Хроническая сердечная </w:t>
      </w:r>
      <w:r>
        <w:t>недостаточность</w:t>
      </w:r>
      <w:r>
        <w:t xml:space="preserve">. Клинические рекомендации 2024  для использования в работе кабинетов (школ) по артериальной гипертонии, созданных при поликлиниках, Центрах здоровья, отделениях профилактики </w:t>
      </w:r>
    </w:p>
    <w:p w:rsidR="00D2692F" w:rsidRDefault="00D2692F" w:rsidP="00A56DFD">
      <w:pPr>
        <w:pStyle w:val="a4"/>
        <w:ind w:firstLine="709"/>
        <w:jc w:val="both"/>
      </w:pPr>
    </w:p>
    <w:p w:rsidR="00D2692F" w:rsidRDefault="00AF3B3B" w:rsidP="00A56DFD">
      <w:pPr>
        <w:pStyle w:val="a4"/>
        <w:ind w:left="0" w:firstLine="709"/>
        <w:jc w:val="both"/>
      </w:pPr>
      <w:r>
        <w:t>Методические</w:t>
      </w:r>
      <w:r>
        <w:tab/>
        <w:t>рекомендации</w:t>
      </w:r>
      <w:r>
        <w:tab/>
        <w:t>подготовлены</w:t>
      </w:r>
      <w:r>
        <w:tab/>
        <w:t>Минздравом Пермского края</w:t>
      </w:r>
      <w:r>
        <w:t>:</w:t>
      </w:r>
    </w:p>
    <w:p w:rsidR="00D2692F" w:rsidRDefault="00D2692F" w:rsidP="00A56DFD">
      <w:pPr>
        <w:pStyle w:val="a4"/>
        <w:ind w:firstLine="709"/>
        <w:jc w:val="both"/>
      </w:pPr>
    </w:p>
    <w:p w:rsidR="00D2692F" w:rsidRDefault="00AF3B3B" w:rsidP="00A56DFD">
      <w:pPr>
        <w:pStyle w:val="a4"/>
        <w:ind w:left="0" w:firstLine="709"/>
        <w:jc w:val="both"/>
      </w:pPr>
      <w:r>
        <w:t>Е.В. Камкин  – заместитель</w:t>
      </w:r>
      <w:r>
        <w:t xml:space="preserve"> министра здравоохранения </w:t>
      </w:r>
    </w:p>
    <w:p w:rsidR="00D2692F" w:rsidRDefault="00AF3B3B" w:rsidP="00A56DFD">
      <w:pPr>
        <w:pStyle w:val="a4"/>
        <w:ind w:left="0" w:firstLine="709"/>
        <w:jc w:val="both"/>
      </w:pPr>
      <w:r>
        <w:t xml:space="preserve">Е.М. </w:t>
      </w:r>
      <w:proofErr w:type="spellStart"/>
      <w:r>
        <w:t>Хаймина</w:t>
      </w:r>
      <w:proofErr w:type="spellEnd"/>
      <w:r>
        <w:t xml:space="preserve"> - начальник управления взрослой помощи Минздрава Пермского края</w:t>
      </w:r>
      <w:r>
        <w:t xml:space="preserve"> </w:t>
      </w:r>
      <w:r>
        <w:t xml:space="preserve"> </w:t>
      </w:r>
    </w:p>
    <w:p w:rsidR="00D2692F" w:rsidRDefault="00AF3B3B" w:rsidP="00A56DFD">
      <w:pPr>
        <w:pStyle w:val="a4"/>
        <w:ind w:left="0" w:firstLine="709"/>
        <w:jc w:val="both"/>
      </w:pPr>
      <w:r>
        <w:t xml:space="preserve">А.В. Казаринов - главный внештатный нефролог  Минздрава </w:t>
      </w:r>
      <w:r>
        <w:t>Пермского края</w:t>
      </w:r>
    </w:p>
    <w:p w:rsidR="00D2692F" w:rsidRDefault="00AF3B3B" w:rsidP="00A56DFD">
      <w:pPr>
        <w:pStyle w:val="a4"/>
        <w:ind w:left="0" w:firstLine="709"/>
        <w:jc w:val="both"/>
      </w:pPr>
      <w:proofErr w:type="spellStart"/>
      <w:r>
        <w:t>Н.А.Корягина</w:t>
      </w:r>
      <w:proofErr w:type="spellEnd"/>
      <w:r>
        <w:t xml:space="preserve"> - главный внештатный </w:t>
      </w:r>
      <w:r>
        <w:t xml:space="preserve"> терапевт  Минзд</w:t>
      </w:r>
      <w:r>
        <w:t xml:space="preserve">рава </w:t>
      </w:r>
      <w:r>
        <w:t>Пермского края</w:t>
      </w:r>
      <w:r>
        <w:t xml:space="preserve">, д.м.н.,  профессор кафедры поликлинической терапии  ФГБОУ ВО ПГМУ </w:t>
      </w:r>
      <w:proofErr w:type="spellStart"/>
      <w:r>
        <w:t>им.ак.Е.А.Вагнера</w:t>
      </w:r>
      <w:proofErr w:type="spellEnd"/>
    </w:p>
    <w:p w:rsidR="00D2692F" w:rsidRDefault="00AF3B3B" w:rsidP="00A56DFD">
      <w:pPr>
        <w:pStyle w:val="a4"/>
        <w:ind w:firstLine="709"/>
        <w:jc w:val="both"/>
      </w:pPr>
      <w:r>
        <w:t xml:space="preserve"> </w:t>
      </w:r>
    </w:p>
    <w:p w:rsidR="00D2692F" w:rsidRDefault="00D2692F" w:rsidP="00A56DFD">
      <w:pPr>
        <w:pStyle w:val="a4"/>
        <w:ind w:firstLine="709"/>
        <w:jc w:val="both"/>
      </w:pPr>
    </w:p>
    <w:p w:rsidR="00D2692F" w:rsidRDefault="00AF3B3B" w:rsidP="00A56DFD">
      <w:pPr>
        <w:pStyle w:val="a4"/>
        <w:ind w:left="0" w:firstLine="709"/>
        <w:jc w:val="both"/>
        <w:sectPr w:rsidR="00D2692F">
          <w:footerReference w:type="default" r:id="rId9"/>
          <w:pgSz w:w="8420" w:h="11910"/>
          <w:pgMar w:top="720" w:right="720" w:bottom="720" w:left="720" w:header="0" w:footer="766" w:gutter="0"/>
          <w:pgNumType w:start="2"/>
          <w:cols w:space="720"/>
        </w:sectPr>
      </w:pPr>
      <w:r>
        <w:t>Рецензент</w:t>
      </w:r>
      <w:r>
        <w:tab/>
        <w:t xml:space="preserve"> </w:t>
      </w:r>
      <w:r>
        <w:t>д</w:t>
      </w:r>
      <w:r>
        <w:t>.м.н.,</w:t>
      </w:r>
      <w:r>
        <w:tab/>
        <w:t xml:space="preserve"> </w:t>
      </w:r>
      <w:r>
        <w:t xml:space="preserve"> </w:t>
      </w:r>
      <w:proofErr w:type="spellStart"/>
      <w:r>
        <w:t>Шулькина</w:t>
      </w:r>
      <w:proofErr w:type="spellEnd"/>
      <w:r>
        <w:t xml:space="preserve"> С.Г.</w:t>
      </w:r>
      <w:r>
        <w:t xml:space="preserve"> -  </w:t>
      </w:r>
      <w:r>
        <w:t xml:space="preserve"> профессор кафедры поликлинической терапии ФГБОУ ВО ПГМУ </w:t>
      </w:r>
      <w:proofErr w:type="spellStart"/>
      <w:r>
        <w:t>им.ак.Е.А.Вагнера</w:t>
      </w:r>
      <w:proofErr w:type="spellEnd"/>
      <w:r>
        <w:t xml:space="preserve"> Минздрава России </w:t>
      </w:r>
    </w:p>
    <w:p w:rsidR="00D2692F" w:rsidRDefault="00AF3B3B" w:rsidP="00A56DFD">
      <w:pPr>
        <w:pStyle w:val="a4"/>
        <w:ind w:left="0" w:firstLine="709"/>
        <w:jc w:val="both"/>
        <w:outlineLvl w:val="1"/>
      </w:pPr>
      <w:r>
        <w:lastRenderedPageBreak/>
        <w:t xml:space="preserve">Профилактическое консультирование - это процесс информирования и обучения пациента для повышения его приверженности к выполнению врачебных назначений и </w:t>
      </w:r>
      <w:r>
        <w:t>формированию поведенческих навыков, способствующих снижению риска заболевания (при отсутствии заболевания) и осложнений (при их наличии). Эти особенности принципиально</w:t>
      </w:r>
      <w:r>
        <w:rPr>
          <w:spacing w:val="40"/>
        </w:rPr>
        <w:t xml:space="preserve"> </w:t>
      </w:r>
      <w:r>
        <w:t xml:space="preserve">отличают процесс профилактического консультирования от методов санитарного просвещения. </w:t>
      </w:r>
      <w:r>
        <w:t>Профилактическое консультирование должно носить адресный характер.</w:t>
      </w:r>
    </w:p>
    <w:p w:rsidR="00D2692F" w:rsidRDefault="00AF3B3B" w:rsidP="00A56DFD">
      <w:pPr>
        <w:pStyle w:val="a4"/>
        <w:ind w:left="0" w:firstLine="709"/>
        <w:jc w:val="both"/>
      </w:pPr>
      <w:r>
        <w:t xml:space="preserve">По форме проведения выделяют три вида профилактического </w:t>
      </w:r>
      <w:r>
        <w:rPr>
          <w:spacing w:val="-2"/>
        </w:rPr>
        <w:t>консультирования:</w:t>
      </w:r>
    </w:p>
    <w:p w:rsidR="00D2692F" w:rsidRDefault="00AF3B3B" w:rsidP="00A56DFD">
      <w:pPr>
        <w:pStyle w:val="a7"/>
        <w:numPr>
          <w:ilvl w:val="0"/>
          <w:numId w:val="1"/>
        </w:numPr>
        <w:tabs>
          <w:tab w:val="left" w:pos="1221"/>
        </w:tabs>
        <w:ind w:left="0" w:firstLine="709"/>
        <w:jc w:val="both"/>
      </w:pPr>
      <w:r>
        <w:t>Краткое</w:t>
      </w:r>
      <w:r>
        <w:rPr>
          <w:spacing w:val="-7"/>
        </w:rPr>
        <w:t xml:space="preserve"> </w:t>
      </w:r>
      <w:r>
        <w:t>профилактическое</w:t>
      </w:r>
      <w:r>
        <w:rPr>
          <w:spacing w:val="-6"/>
        </w:rPr>
        <w:t xml:space="preserve"> </w:t>
      </w:r>
      <w:r>
        <w:rPr>
          <w:spacing w:val="-2"/>
        </w:rPr>
        <w:t>консультирование;</w:t>
      </w:r>
    </w:p>
    <w:p w:rsidR="00D2692F" w:rsidRDefault="00AF3B3B" w:rsidP="00A56DFD">
      <w:pPr>
        <w:pStyle w:val="a7"/>
        <w:numPr>
          <w:ilvl w:val="0"/>
          <w:numId w:val="1"/>
        </w:numPr>
        <w:tabs>
          <w:tab w:val="left" w:pos="1218"/>
        </w:tabs>
        <w:ind w:left="0" w:firstLine="709"/>
        <w:jc w:val="both"/>
      </w:pPr>
      <w:r>
        <w:t>Углубленное</w:t>
      </w:r>
      <w:r>
        <w:rPr>
          <w:spacing w:val="-14"/>
        </w:rPr>
        <w:t xml:space="preserve"> </w:t>
      </w:r>
      <w:r>
        <w:t>индивидуальное</w:t>
      </w:r>
      <w:r>
        <w:rPr>
          <w:spacing w:val="-14"/>
        </w:rPr>
        <w:t xml:space="preserve"> </w:t>
      </w:r>
      <w:r>
        <w:t xml:space="preserve">профилактическое </w:t>
      </w:r>
      <w:r>
        <w:rPr>
          <w:spacing w:val="-2"/>
        </w:rPr>
        <w:t>консультирование;</w:t>
      </w:r>
    </w:p>
    <w:p w:rsidR="00A56DFD" w:rsidRDefault="00AF3B3B" w:rsidP="00A56DFD">
      <w:pPr>
        <w:pStyle w:val="a7"/>
        <w:numPr>
          <w:ilvl w:val="0"/>
          <w:numId w:val="1"/>
        </w:numPr>
        <w:tabs>
          <w:tab w:val="left" w:pos="1218"/>
        </w:tabs>
        <w:ind w:left="0" w:firstLine="709"/>
        <w:jc w:val="both"/>
      </w:pPr>
      <w:r>
        <w:t>Углубленно</w:t>
      </w:r>
      <w:r>
        <w:t>е</w:t>
      </w:r>
      <w:r>
        <w:rPr>
          <w:spacing w:val="-10"/>
        </w:rPr>
        <w:t xml:space="preserve"> </w:t>
      </w:r>
      <w:r>
        <w:t>групповое</w:t>
      </w:r>
      <w:r>
        <w:rPr>
          <w:spacing w:val="-11"/>
        </w:rPr>
        <w:t xml:space="preserve"> </w:t>
      </w:r>
      <w:r>
        <w:t>профилактическое</w:t>
      </w:r>
      <w:r>
        <w:rPr>
          <w:spacing w:val="-11"/>
        </w:rPr>
        <w:t xml:space="preserve"> </w:t>
      </w:r>
      <w:r>
        <w:t>консультирование (школы для пациента, школы здоровья).</w:t>
      </w:r>
    </w:p>
    <w:p w:rsidR="00D2692F" w:rsidRPr="00A56DFD" w:rsidRDefault="00AF3B3B" w:rsidP="00A56DFD">
      <w:pPr>
        <w:pStyle w:val="a7"/>
        <w:tabs>
          <w:tab w:val="left" w:pos="1218"/>
        </w:tabs>
        <w:ind w:left="0" w:firstLine="709"/>
        <w:jc w:val="both"/>
        <w:rPr>
          <w:b/>
          <w:u w:val="single"/>
        </w:rPr>
      </w:pPr>
      <w:r w:rsidRPr="00A56DFD">
        <w:rPr>
          <w:b/>
          <w:spacing w:val="-2"/>
          <w:u w:val="single"/>
        </w:rPr>
        <w:t>Углубленное</w:t>
      </w:r>
      <w:r w:rsidR="00A56DFD" w:rsidRPr="00A56DFD">
        <w:rPr>
          <w:b/>
          <w:u w:val="single"/>
        </w:rPr>
        <w:t xml:space="preserve"> </w:t>
      </w:r>
      <w:r w:rsidRPr="00A56DFD">
        <w:rPr>
          <w:b/>
          <w:spacing w:val="-2"/>
          <w:u w:val="single"/>
        </w:rPr>
        <w:t>групповое</w:t>
      </w:r>
      <w:r w:rsidR="00A56DFD" w:rsidRPr="00A56DFD">
        <w:rPr>
          <w:b/>
          <w:u w:val="single"/>
        </w:rPr>
        <w:t xml:space="preserve"> </w:t>
      </w:r>
      <w:r w:rsidRPr="00A56DFD">
        <w:rPr>
          <w:b/>
          <w:spacing w:val="-2"/>
          <w:u w:val="single"/>
        </w:rPr>
        <w:t xml:space="preserve">профилактическое </w:t>
      </w:r>
      <w:r w:rsidRPr="00A56DFD">
        <w:rPr>
          <w:b/>
          <w:u w:val="single"/>
        </w:rPr>
        <w:t>консультирование (школа пациента).</w:t>
      </w:r>
    </w:p>
    <w:p w:rsidR="00D2692F" w:rsidRDefault="00AF3B3B" w:rsidP="00A56DFD">
      <w:pPr>
        <w:pStyle w:val="a4"/>
        <w:ind w:left="0" w:firstLine="709"/>
        <w:jc w:val="both"/>
      </w:pPr>
      <w:r>
        <w:t>Школа пациента (здоровья) – является организованной формой профилактического группового консульти</w:t>
      </w:r>
      <w:r>
        <w:t>рования (гигиенического обучения и воспитания) и проводится с целью:</w:t>
      </w:r>
    </w:p>
    <w:p w:rsidR="00D2692F" w:rsidRDefault="00AF3B3B" w:rsidP="00A56DFD">
      <w:pPr>
        <w:pStyle w:val="a7"/>
        <w:numPr>
          <w:ilvl w:val="0"/>
          <w:numId w:val="1"/>
        </w:numPr>
        <w:tabs>
          <w:tab w:val="left" w:pos="1285"/>
        </w:tabs>
        <w:ind w:left="0" w:firstLine="709"/>
        <w:jc w:val="both"/>
      </w:pPr>
      <w:r>
        <w:t>повышения информированности пациентов о заболевании и факторах риска развития заболеваний и осложнений;</w:t>
      </w:r>
    </w:p>
    <w:p w:rsidR="00D2692F" w:rsidRDefault="00AF3B3B" w:rsidP="00A56DFD">
      <w:pPr>
        <w:pStyle w:val="a7"/>
        <w:numPr>
          <w:ilvl w:val="0"/>
          <w:numId w:val="1"/>
        </w:numPr>
        <w:tabs>
          <w:tab w:val="left" w:pos="1221"/>
        </w:tabs>
        <w:ind w:left="0" w:firstLine="709"/>
        <w:jc w:val="both"/>
      </w:pPr>
      <w:r>
        <w:t>повышения</w:t>
      </w:r>
      <w:r>
        <w:rPr>
          <w:spacing w:val="-10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пациента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сохранение</w:t>
      </w:r>
      <w:r>
        <w:rPr>
          <w:spacing w:val="-8"/>
        </w:rPr>
        <w:t xml:space="preserve"> </w:t>
      </w:r>
      <w:r>
        <w:rPr>
          <w:spacing w:val="-2"/>
        </w:rPr>
        <w:t>здоровья;</w:t>
      </w:r>
    </w:p>
    <w:p w:rsidR="00D2692F" w:rsidRDefault="00AF3B3B" w:rsidP="00A56DFD">
      <w:pPr>
        <w:pStyle w:val="a7"/>
        <w:numPr>
          <w:ilvl w:val="0"/>
          <w:numId w:val="1"/>
        </w:numPr>
        <w:tabs>
          <w:tab w:val="left" w:pos="1225"/>
        </w:tabs>
        <w:ind w:left="0" w:firstLine="709"/>
        <w:jc w:val="both"/>
      </w:pPr>
      <w:r>
        <w:t>формирования рационально</w:t>
      </w:r>
      <w:r>
        <w:t>го и активного отношения</w:t>
      </w:r>
      <w:r>
        <w:rPr>
          <w:spacing w:val="-1"/>
        </w:rPr>
        <w:t xml:space="preserve"> </w:t>
      </w:r>
      <w:r>
        <w:t>пациента к</w:t>
      </w:r>
      <w:r>
        <w:rPr>
          <w:spacing w:val="-1"/>
        </w:rPr>
        <w:t xml:space="preserve"> </w:t>
      </w:r>
      <w:r>
        <w:t>здоровью,</w:t>
      </w:r>
      <w:r>
        <w:rPr>
          <w:spacing w:val="-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оздоровлению,</w:t>
      </w:r>
      <w:r>
        <w:rPr>
          <w:spacing w:val="-1"/>
        </w:rPr>
        <w:t xml:space="preserve"> </w:t>
      </w:r>
      <w:r>
        <w:t>приверженности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лечению;</w:t>
      </w:r>
    </w:p>
    <w:p w:rsidR="00D2692F" w:rsidRDefault="00AF3B3B" w:rsidP="00A56DFD">
      <w:pPr>
        <w:pStyle w:val="a7"/>
        <w:numPr>
          <w:ilvl w:val="0"/>
          <w:numId w:val="1"/>
        </w:numPr>
        <w:tabs>
          <w:tab w:val="left" w:pos="1367"/>
        </w:tabs>
        <w:ind w:left="0" w:firstLine="709"/>
        <w:jc w:val="both"/>
      </w:pPr>
      <w:r>
        <w:t>формирования умений и навыков по самоконтролю и самопомощи в неотложных ситуациях;</w:t>
      </w:r>
    </w:p>
    <w:p w:rsidR="00D2692F" w:rsidRDefault="00AF3B3B" w:rsidP="00A56DFD">
      <w:pPr>
        <w:pStyle w:val="a7"/>
        <w:numPr>
          <w:ilvl w:val="0"/>
          <w:numId w:val="1"/>
        </w:numPr>
        <w:tabs>
          <w:tab w:val="left" w:pos="1268"/>
        </w:tabs>
        <w:ind w:left="0" w:firstLine="709"/>
        <w:jc w:val="both"/>
      </w:pPr>
      <w:r>
        <w:t xml:space="preserve">формирования у пациентов навыков и умений по снижению неблагоприятного </w:t>
      </w:r>
      <w:r>
        <w:t>влияния на здоровье поведенческих, управляемых факторов риска.</w:t>
      </w:r>
    </w:p>
    <w:p w:rsidR="00D2692F" w:rsidRDefault="00AF3B3B" w:rsidP="00A56DFD">
      <w:pPr>
        <w:ind w:firstLine="709"/>
        <w:jc w:val="both"/>
        <w:rPr>
          <w:b/>
        </w:rPr>
      </w:pPr>
      <w:r>
        <w:rPr>
          <w:b/>
          <w:u w:val="single"/>
        </w:rPr>
        <w:t>Основные принципы эффективной организации и</w:t>
      </w:r>
      <w:r>
        <w:rPr>
          <w:b/>
        </w:rPr>
        <w:t xml:space="preserve"> </w:t>
      </w:r>
      <w:r>
        <w:rPr>
          <w:b/>
          <w:u w:val="single"/>
        </w:rPr>
        <w:t>проведения школ пациентов:</w:t>
      </w:r>
    </w:p>
    <w:p w:rsidR="00D2692F" w:rsidRDefault="00AF3B3B" w:rsidP="00A56DFD">
      <w:pPr>
        <w:pStyle w:val="a7"/>
        <w:numPr>
          <w:ilvl w:val="0"/>
          <w:numId w:val="2"/>
        </w:numPr>
        <w:tabs>
          <w:tab w:val="left" w:pos="1357"/>
        </w:tabs>
        <w:ind w:left="0" w:firstLine="709"/>
        <w:jc w:val="both"/>
      </w:pPr>
      <w:r>
        <w:t>Формирование «тематической» целевой группы пациентов с относительно сходными характеристиками: например, больные с неослож</w:t>
      </w:r>
      <w:r>
        <w:t>ненным течением артериальной гипертонии, ишемической болезни сердца; больные, перенесшие инфаркт миокарда, острый коронарный синдром; пациенты с высоким риском сердечн</w:t>
      </w:r>
      <w:proofErr w:type="gramStart"/>
      <w:r>
        <w:t>о-</w:t>
      </w:r>
      <w:proofErr w:type="gramEnd"/>
      <w:r>
        <w:t xml:space="preserve"> сосудистых заболеваний без клинических симптомов болезни и т.д.;</w:t>
      </w:r>
    </w:p>
    <w:p w:rsidR="00D2692F" w:rsidRDefault="00AF3B3B" w:rsidP="00A56DFD">
      <w:pPr>
        <w:pStyle w:val="a7"/>
        <w:numPr>
          <w:ilvl w:val="0"/>
          <w:numId w:val="2"/>
        </w:numPr>
        <w:tabs>
          <w:tab w:val="left" w:pos="1165"/>
        </w:tabs>
        <w:ind w:left="0" w:firstLine="709"/>
        <w:jc w:val="both"/>
      </w:pPr>
      <w:r>
        <w:t>Для</w:t>
      </w:r>
      <w:r>
        <w:t xml:space="preserve"> избранной целевой группы проводится цикл </w:t>
      </w:r>
      <w:r>
        <w:t>лекций</w:t>
      </w:r>
      <w:r>
        <w:rPr>
          <w:spacing w:val="40"/>
        </w:rPr>
        <w:t xml:space="preserve"> </w:t>
      </w:r>
      <w:r>
        <w:t xml:space="preserve">(по </w:t>
      </w:r>
      <w:r>
        <w:lastRenderedPageBreak/>
        <w:t>60 минут каждое) по заранее составленному</w:t>
      </w:r>
      <w:r>
        <w:rPr>
          <w:spacing w:val="-2"/>
        </w:rPr>
        <w:t xml:space="preserve"> </w:t>
      </w:r>
      <w:r>
        <w:t>плану</w:t>
      </w:r>
      <w:r>
        <w:rPr>
          <w:spacing w:val="-2"/>
        </w:rPr>
        <w:t xml:space="preserve"> </w:t>
      </w:r>
      <w:r>
        <w:t xml:space="preserve">и согласованному графику; одно из основных требований – посещение всего цикла </w:t>
      </w:r>
      <w:r>
        <w:rPr>
          <w:spacing w:val="-2"/>
        </w:rPr>
        <w:t>лекций</w:t>
      </w:r>
      <w:r>
        <w:rPr>
          <w:spacing w:val="-2"/>
        </w:rPr>
        <w:t>;</w:t>
      </w:r>
    </w:p>
    <w:p w:rsidR="00D2692F" w:rsidRDefault="00AF3B3B" w:rsidP="00A56DFD">
      <w:pPr>
        <w:pStyle w:val="a7"/>
        <w:numPr>
          <w:ilvl w:val="0"/>
          <w:numId w:val="2"/>
        </w:numPr>
        <w:tabs>
          <w:tab w:val="left" w:pos="1153"/>
        </w:tabs>
        <w:ind w:left="0" w:firstLine="709"/>
        <w:jc w:val="both"/>
      </w:pPr>
      <w:r>
        <w:t xml:space="preserve">Численность целевой группы пациентов должна быть не более </w:t>
      </w:r>
      <w:r>
        <w:t>15</w:t>
      </w:r>
      <w:r>
        <w:t xml:space="preserve"> человек;</w:t>
      </w:r>
      <w:r>
        <w:t xml:space="preserve"> необходим контроль, чтобы пациенты посетили все (или большинство) из запланированных </w:t>
      </w:r>
      <w:r>
        <w:t>лекций</w:t>
      </w:r>
      <w:r>
        <w:t>;</w:t>
      </w:r>
    </w:p>
    <w:p w:rsidR="00944DB9" w:rsidRPr="00944DB9" w:rsidRDefault="00AF3B3B" w:rsidP="00944DB9">
      <w:pPr>
        <w:pStyle w:val="a7"/>
        <w:numPr>
          <w:ilvl w:val="0"/>
          <w:numId w:val="2"/>
        </w:numPr>
        <w:tabs>
          <w:tab w:val="left" w:pos="1419"/>
        </w:tabs>
        <w:ind w:left="0" w:firstLine="709"/>
        <w:jc w:val="both"/>
      </w:pPr>
      <w:r>
        <w:t>Организация группового консультирования должна проводиться в специально оборудованном помещении:</w:t>
      </w:r>
      <w:r>
        <w:rPr>
          <w:spacing w:val="40"/>
        </w:rPr>
        <w:t xml:space="preserve"> </w:t>
      </w:r>
      <w:r>
        <w:t>стол, стулья, проектор для показа фильма или презентации, информа</w:t>
      </w:r>
      <w:r>
        <w:t xml:space="preserve">ционный </w:t>
      </w:r>
      <w:r>
        <w:rPr>
          <w:spacing w:val="-2"/>
        </w:rPr>
        <w:t>материал.</w:t>
      </w:r>
    </w:p>
    <w:p w:rsidR="00944DB9" w:rsidRDefault="00944DB9" w:rsidP="00944DB9">
      <w:pPr>
        <w:pStyle w:val="a7"/>
        <w:tabs>
          <w:tab w:val="left" w:pos="1419"/>
        </w:tabs>
        <w:ind w:left="709" w:firstLine="0"/>
        <w:jc w:val="center"/>
        <w:rPr>
          <w:b/>
          <w:color w:val="000000" w:themeColor="text1"/>
        </w:rPr>
      </w:pPr>
    </w:p>
    <w:p w:rsidR="00944DB9" w:rsidRDefault="00944DB9" w:rsidP="00944DB9">
      <w:pPr>
        <w:pStyle w:val="a7"/>
        <w:tabs>
          <w:tab w:val="left" w:pos="1419"/>
        </w:tabs>
        <w:ind w:left="709" w:firstLine="0"/>
        <w:jc w:val="center"/>
        <w:rPr>
          <w:b/>
          <w:color w:val="000000" w:themeColor="text1"/>
        </w:rPr>
      </w:pPr>
    </w:p>
    <w:p w:rsidR="00944DB9" w:rsidRDefault="00944DB9" w:rsidP="00944DB9">
      <w:pPr>
        <w:pStyle w:val="a7"/>
        <w:tabs>
          <w:tab w:val="left" w:pos="1419"/>
        </w:tabs>
        <w:ind w:left="709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br/>
      </w:r>
    </w:p>
    <w:p w:rsidR="00944DB9" w:rsidRDefault="00944DB9">
      <w:pPr>
        <w:widowControl/>
        <w:autoSpaceDE/>
        <w:autoSpaceDN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D2692F" w:rsidRPr="00944DB9" w:rsidRDefault="00AF3B3B" w:rsidP="00944DB9">
      <w:pPr>
        <w:pStyle w:val="a7"/>
        <w:tabs>
          <w:tab w:val="left" w:pos="1419"/>
        </w:tabs>
        <w:ind w:left="709" w:firstLine="0"/>
        <w:jc w:val="center"/>
        <w:rPr>
          <w:b/>
        </w:rPr>
      </w:pPr>
      <w:r w:rsidRPr="00944DB9">
        <w:rPr>
          <w:b/>
          <w:color w:val="000000" w:themeColor="text1"/>
        </w:rPr>
        <w:lastRenderedPageBreak/>
        <w:t>Методика</w:t>
      </w:r>
      <w:r w:rsidRPr="00944DB9">
        <w:rPr>
          <w:b/>
          <w:color w:val="000000" w:themeColor="text1"/>
          <w:spacing w:val="80"/>
          <w:w w:val="150"/>
        </w:rPr>
        <w:t xml:space="preserve"> </w:t>
      </w:r>
      <w:r w:rsidRPr="00944DB9">
        <w:rPr>
          <w:b/>
          <w:color w:val="000000" w:themeColor="text1"/>
        </w:rPr>
        <w:t>проведения</w:t>
      </w:r>
      <w:r w:rsidRPr="00944DB9">
        <w:rPr>
          <w:b/>
          <w:color w:val="000000" w:themeColor="text1"/>
          <w:spacing w:val="80"/>
          <w:w w:val="150"/>
        </w:rPr>
        <w:t xml:space="preserve"> </w:t>
      </w:r>
      <w:r w:rsidRPr="00944DB9">
        <w:rPr>
          <w:b/>
          <w:color w:val="000000" w:themeColor="text1"/>
        </w:rPr>
        <w:t>лекций</w:t>
      </w:r>
      <w:r w:rsidRPr="00944DB9">
        <w:rPr>
          <w:b/>
          <w:color w:val="000000" w:themeColor="text1"/>
          <w:spacing w:val="80"/>
          <w:w w:val="150"/>
        </w:rPr>
        <w:t xml:space="preserve"> </w:t>
      </w:r>
      <w:r w:rsidRPr="00944DB9">
        <w:rPr>
          <w:b/>
          <w:color w:val="000000" w:themeColor="text1"/>
        </w:rPr>
        <w:t>в</w:t>
      </w:r>
      <w:r w:rsidRPr="00944DB9">
        <w:rPr>
          <w:b/>
          <w:color w:val="000000" w:themeColor="text1"/>
          <w:spacing w:val="80"/>
          <w:w w:val="150"/>
        </w:rPr>
        <w:t xml:space="preserve"> </w:t>
      </w:r>
      <w:r w:rsidRPr="00944DB9">
        <w:rPr>
          <w:b/>
          <w:color w:val="000000" w:themeColor="text1"/>
        </w:rPr>
        <w:t>Школе</w:t>
      </w:r>
      <w:r w:rsidRPr="00944DB9">
        <w:rPr>
          <w:b/>
          <w:color w:val="000000" w:themeColor="text1"/>
          <w:spacing w:val="80"/>
          <w:w w:val="150"/>
        </w:rPr>
        <w:t xml:space="preserve"> </w:t>
      </w:r>
      <w:r w:rsidRPr="00944DB9">
        <w:rPr>
          <w:b/>
          <w:color w:val="000000" w:themeColor="text1"/>
        </w:rPr>
        <w:t>здоровья</w:t>
      </w:r>
      <w:r w:rsidRPr="00944DB9">
        <w:rPr>
          <w:b/>
          <w:color w:val="000000" w:themeColor="text1"/>
          <w:spacing w:val="80"/>
          <w:w w:val="150"/>
        </w:rPr>
        <w:t xml:space="preserve"> </w:t>
      </w:r>
      <w:r w:rsidRPr="00944DB9">
        <w:rPr>
          <w:b/>
          <w:color w:val="000000" w:themeColor="text1"/>
        </w:rPr>
        <w:t xml:space="preserve">для пациентов с </w:t>
      </w:r>
      <w:r w:rsidRPr="00944DB9">
        <w:rPr>
          <w:b/>
          <w:color w:val="000000" w:themeColor="text1"/>
        </w:rPr>
        <w:t>хронической</w:t>
      </w:r>
      <w:r w:rsidRPr="00944DB9">
        <w:rPr>
          <w:b/>
          <w:color w:val="000000" w:themeColor="text1"/>
        </w:rPr>
        <w:t xml:space="preserve"> болезнью почек  (ХБП)</w:t>
      </w:r>
    </w:p>
    <w:p w:rsidR="00D2692F" w:rsidRDefault="00D2692F">
      <w:pPr>
        <w:rPr>
          <w:color w:val="000000" w:themeColor="text1"/>
        </w:rPr>
      </w:pPr>
    </w:p>
    <w:p w:rsidR="00D2692F" w:rsidRDefault="00AF3B3B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Хроническая болезнь почек представляет собой серьезную проблему для здравоохранения, которая может затрагивать до 10% населения. Эта проблема сопряжена с высоким уровнем заболеваемости и смертности и требует значительных затрат ресурсов системы здравоохран</w:t>
      </w:r>
      <w:r>
        <w:rPr>
          <w:color w:val="000000" w:themeColor="text1"/>
        </w:rPr>
        <w:t xml:space="preserve">ения. </w:t>
      </w:r>
    </w:p>
    <w:p w:rsidR="00D2692F" w:rsidRDefault="00AF3B3B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Полный цикл 1 посещение (90 минут) состоит из 5 лекций по 15-25 минут, посвященных основным наиболее важным проблемам контроля состояния при ХБП. </w:t>
      </w:r>
    </w:p>
    <w:p w:rsidR="00D2692F" w:rsidRDefault="00D2692F">
      <w:pPr>
        <w:pStyle w:val="a4"/>
        <w:spacing w:before="1" w:line="252" w:lineRule="exact"/>
        <w:ind w:left="0"/>
        <w:jc w:val="both"/>
        <w:rPr>
          <w:color w:val="000000" w:themeColor="text1"/>
        </w:rPr>
      </w:pPr>
    </w:p>
    <w:p w:rsidR="00D2692F" w:rsidRDefault="00AF3B3B" w:rsidP="00944DB9">
      <w:pPr>
        <w:pStyle w:val="a4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Целями обучения в школе для больных ХБП являются:</w:t>
      </w:r>
    </w:p>
    <w:p w:rsidR="00D2692F" w:rsidRDefault="00AF3B3B" w:rsidP="00944DB9">
      <w:pPr>
        <w:pStyle w:val="a4"/>
        <w:numPr>
          <w:ilvl w:val="0"/>
          <w:numId w:val="7"/>
        </w:numPr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формирование активного, рационального и ответствен</w:t>
      </w:r>
      <w:r>
        <w:rPr>
          <w:color w:val="000000" w:themeColor="text1"/>
        </w:rPr>
        <w:t>ного отношения пациентов с ХБП к своему здоровью и мотивации к оздоровлению,</w:t>
      </w:r>
    </w:p>
    <w:p w:rsidR="00D2692F" w:rsidRDefault="00AF3B3B" w:rsidP="00944DB9">
      <w:pPr>
        <w:pStyle w:val="a4"/>
        <w:numPr>
          <w:ilvl w:val="0"/>
          <w:numId w:val="7"/>
        </w:numPr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повышение информированности пациента о ХСН, причинах ее возникновения и факторах, влияющих на ее прогрессирование,</w:t>
      </w:r>
    </w:p>
    <w:p w:rsidR="00D2692F" w:rsidRDefault="00AF3B3B" w:rsidP="00944DB9">
      <w:pPr>
        <w:pStyle w:val="a4"/>
        <w:numPr>
          <w:ilvl w:val="0"/>
          <w:numId w:val="7"/>
        </w:numPr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повышение</w:t>
      </w:r>
      <w:r>
        <w:rPr>
          <w:color w:val="000000" w:themeColor="text1"/>
        </w:rPr>
        <w:tab/>
        <w:t>приверженности</w:t>
      </w:r>
      <w:r>
        <w:rPr>
          <w:color w:val="000000" w:themeColor="text1"/>
        </w:rPr>
        <w:tab/>
        <w:t>пациентов</w:t>
      </w:r>
      <w:r>
        <w:rPr>
          <w:color w:val="000000" w:themeColor="text1"/>
        </w:rPr>
        <w:tab/>
        <w:t>к медикаментозному и немеди</w:t>
      </w:r>
      <w:r>
        <w:rPr>
          <w:color w:val="000000" w:themeColor="text1"/>
        </w:rPr>
        <w:t xml:space="preserve">каментозному лечению, </w:t>
      </w:r>
    </w:p>
    <w:p w:rsidR="00D2692F" w:rsidRDefault="00AF3B3B" w:rsidP="00944DB9">
      <w:pPr>
        <w:pStyle w:val="a4"/>
        <w:numPr>
          <w:ilvl w:val="0"/>
          <w:numId w:val="7"/>
        </w:numPr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формирование у пациентов умений и навыков самоконтроля</w:t>
      </w:r>
      <w:r w:rsidR="00944DB9">
        <w:rPr>
          <w:color w:val="000000" w:themeColor="text1"/>
        </w:rPr>
        <w:t>.</w:t>
      </w:r>
    </w:p>
    <w:p w:rsidR="00D2692F" w:rsidRDefault="00D2692F">
      <w:pPr>
        <w:pStyle w:val="a4"/>
        <w:spacing w:before="1" w:line="252" w:lineRule="exact"/>
        <w:ind w:left="1097"/>
        <w:jc w:val="center"/>
        <w:rPr>
          <w:color w:val="000000" w:themeColor="text1"/>
        </w:rPr>
      </w:pPr>
    </w:p>
    <w:p w:rsidR="00D2692F" w:rsidRDefault="00D2692F">
      <w:pPr>
        <w:pStyle w:val="a4"/>
        <w:spacing w:before="1" w:line="252" w:lineRule="exact"/>
        <w:ind w:left="1097"/>
        <w:jc w:val="center"/>
        <w:rPr>
          <w:color w:val="000000" w:themeColor="text1"/>
        </w:rPr>
      </w:pPr>
    </w:p>
    <w:p w:rsidR="00D2692F" w:rsidRDefault="00D2692F">
      <w:pPr>
        <w:pStyle w:val="a4"/>
        <w:spacing w:before="1" w:line="252" w:lineRule="exact"/>
        <w:ind w:left="1097"/>
        <w:jc w:val="center"/>
        <w:rPr>
          <w:color w:val="000000" w:themeColor="text1"/>
        </w:rPr>
      </w:pPr>
    </w:p>
    <w:p w:rsidR="00D2692F" w:rsidRDefault="00D2692F">
      <w:pPr>
        <w:pStyle w:val="a4"/>
        <w:spacing w:before="1" w:line="252" w:lineRule="exact"/>
        <w:ind w:left="1097"/>
        <w:jc w:val="center"/>
        <w:rPr>
          <w:color w:val="000000" w:themeColor="text1"/>
        </w:rPr>
      </w:pPr>
    </w:p>
    <w:p w:rsidR="00D2692F" w:rsidRDefault="00D2692F">
      <w:pPr>
        <w:pStyle w:val="a4"/>
        <w:spacing w:before="1" w:line="252" w:lineRule="exact"/>
        <w:ind w:left="1097"/>
        <w:jc w:val="center"/>
        <w:rPr>
          <w:color w:val="000000" w:themeColor="text1"/>
        </w:rPr>
      </w:pPr>
    </w:p>
    <w:p w:rsidR="00D2692F" w:rsidRDefault="00D2692F">
      <w:pPr>
        <w:pStyle w:val="a4"/>
        <w:spacing w:before="1" w:line="252" w:lineRule="exact"/>
        <w:ind w:left="1097"/>
        <w:jc w:val="center"/>
        <w:rPr>
          <w:color w:val="000000" w:themeColor="text1"/>
        </w:rPr>
      </w:pPr>
    </w:p>
    <w:p w:rsidR="00D2692F" w:rsidRDefault="00D2692F">
      <w:pPr>
        <w:pStyle w:val="a4"/>
        <w:spacing w:before="1" w:line="252" w:lineRule="exact"/>
        <w:ind w:left="1097"/>
        <w:jc w:val="center"/>
        <w:rPr>
          <w:color w:val="000000" w:themeColor="text1"/>
        </w:rPr>
      </w:pPr>
    </w:p>
    <w:p w:rsidR="00D2692F" w:rsidRDefault="00D2692F">
      <w:pPr>
        <w:pStyle w:val="a4"/>
        <w:spacing w:before="1" w:line="252" w:lineRule="exact"/>
        <w:ind w:left="1097"/>
        <w:jc w:val="center"/>
        <w:rPr>
          <w:color w:val="000000" w:themeColor="text1"/>
        </w:rPr>
      </w:pPr>
    </w:p>
    <w:p w:rsidR="00D2692F" w:rsidRDefault="00D2692F">
      <w:pPr>
        <w:pStyle w:val="a4"/>
        <w:spacing w:before="1" w:line="252" w:lineRule="exact"/>
        <w:ind w:left="1097"/>
        <w:jc w:val="center"/>
        <w:rPr>
          <w:color w:val="000000" w:themeColor="text1"/>
        </w:rPr>
      </w:pPr>
    </w:p>
    <w:p w:rsidR="00D2692F" w:rsidRDefault="00D2692F">
      <w:pPr>
        <w:pStyle w:val="a4"/>
        <w:spacing w:before="1" w:line="252" w:lineRule="exact"/>
        <w:ind w:left="1097"/>
        <w:jc w:val="center"/>
        <w:rPr>
          <w:color w:val="000000" w:themeColor="text1"/>
        </w:rPr>
      </w:pPr>
    </w:p>
    <w:p w:rsidR="00D2692F" w:rsidRDefault="00D2692F">
      <w:pPr>
        <w:pStyle w:val="a4"/>
        <w:spacing w:before="1" w:line="252" w:lineRule="exact"/>
        <w:ind w:left="1097"/>
        <w:jc w:val="center"/>
        <w:rPr>
          <w:color w:val="000000" w:themeColor="text1"/>
        </w:rPr>
      </w:pPr>
    </w:p>
    <w:p w:rsidR="00D2692F" w:rsidRDefault="00D2692F">
      <w:pPr>
        <w:pStyle w:val="a4"/>
        <w:spacing w:before="1" w:line="252" w:lineRule="exact"/>
        <w:ind w:left="1097"/>
        <w:jc w:val="center"/>
        <w:rPr>
          <w:color w:val="000000" w:themeColor="text1"/>
        </w:rPr>
      </w:pPr>
    </w:p>
    <w:p w:rsidR="00D2692F" w:rsidRDefault="00D2692F">
      <w:pPr>
        <w:pStyle w:val="a4"/>
        <w:spacing w:before="1" w:line="252" w:lineRule="exact"/>
        <w:ind w:left="1097"/>
        <w:jc w:val="center"/>
        <w:rPr>
          <w:color w:val="000000" w:themeColor="text1"/>
        </w:rPr>
      </w:pPr>
    </w:p>
    <w:p w:rsidR="00D2692F" w:rsidRDefault="00D2692F">
      <w:pPr>
        <w:pStyle w:val="a4"/>
        <w:spacing w:before="1" w:line="252" w:lineRule="exact"/>
        <w:ind w:left="1097"/>
        <w:jc w:val="center"/>
        <w:rPr>
          <w:color w:val="000000" w:themeColor="text1"/>
        </w:rPr>
      </w:pPr>
    </w:p>
    <w:p w:rsidR="00D2692F" w:rsidRDefault="00D2692F">
      <w:pPr>
        <w:pStyle w:val="a4"/>
        <w:spacing w:before="1" w:line="252" w:lineRule="exact"/>
        <w:ind w:left="1097"/>
        <w:jc w:val="center"/>
        <w:rPr>
          <w:color w:val="000000" w:themeColor="text1"/>
        </w:rPr>
      </w:pPr>
    </w:p>
    <w:p w:rsidR="00D2692F" w:rsidRDefault="00D2692F">
      <w:pPr>
        <w:pStyle w:val="a4"/>
        <w:spacing w:before="1" w:line="252" w:lineRule="exact"/>
        <w:ind w:left="1097"/>
        <w:jc w:val="center"/>
        <w:rPr>
          <w:color w:val="000000" w:themeColor="text1"/>
        </w:rPr>
      </w:pPr>
    </w:p>
    <w:p w:rsidR="00D2692F" w:rsidRDefault="00D2692F">
      <w:pPr>
        <w:pStyle w:val="a4"/>
        <w:spacing w:before="1" w:line="252" w:lineRule="exact"/>
        <w:ind w:left="1097"/>
        <w:jc w:val="center"/>
        <w:rPr>
          <w:color w:val="000000" w:themeColor="text1"/>
        </w:rPr>
      </w:pPr>
    </w:p>
    <w:p w:rsidR="00D2692F" w:rsidRDefault="00D2692F">
      <w:pPr>
        <w:pStyle w:val="a4"/>
        <w:spacing w:before="1" w:line="252" w:lineRule="exact"/>
        <w:ind w:left="1097"/>
        <w:jc w:val="center"/>
        <w:rPr>
          <w:color w:val="000000" w:themeColor="text1"/>
        </w:rPr>
      </w:pPr>
    </w:p>
    <w:p w:rsidR="00D2692F" w:rsidRDefault="00D2692F">
      <w:pPr>
        <w:pStyle w:val="a4"/>
        <w:spacing w:before="1" w:line="252" w:lineRule="exact"/>
        <w:ind w:left="1097"/>
        <w:jc w:val="center"/>
        <w:rPr>
          <w:color w:val="000000" w:themeColor="text1"/>
        </w:rPr>
      </w:pPr>
    </w:p>
    <w:p w:rsidR="00D2692F" w:rsidRDefault="00AF3B3B">
      <w:pPr>
        <w:pStyle w:val="a4"/>
        <w:spacing w:before="1" w:line="252" w:lineRule="exact"/>
        <w:ind w:left="1097"/>
        <w:jc w:val="center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</w:t>
      </w: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5188"/>
        <w:gridCol w:w="1489"/>
      </w:tblGrid>
      <w:tr w:rsidR="00D2692F" w:rsidTr="00EB244F">
        <w:trPr>
          <w:tblCellSpacing w:w="15" w:type="dxa"/>
        </w:trPr>
        <w:tc>
          <w:tcPr>
            <w:tcW w:w="231" w:type="pct"/>
            <w:shd w:val="clear" w:color="auto" w:fill="auto"/>
            <w:vAlign w:val="center"/>
          </w:tcPr>
          <w:p w:rsidR="00D2692F" w:rsidRDefault="00AF3B3B">
            <w:pPr>
              <w:pStyle w:val="a6"/>
              <w:jc w:val="center"/>
            </w:pPr>
            <w:r>
              <w:rPr>
                <w:b/>
                <w:bCs/>
                <w:sz w:val="21"/>
                <w:szCs w:val="21"/>
              </w:rPr>
              <w:t>№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21"/>
                <w:szCs w:val="21"/>
              </w:rPr>
              <w:t>п/п</w:t>
            </w:r>
          </w:p>
        </w:tc>
        <w:tc>
          <w:tcPr>
            <w:tcW w:w="3658" w:type="pct"/>
            <w:shd w:val="clear" w:color="auto" w:fill="auto"/>
            <w:vAlign w:val="center"/>
          </w:tcPr>
          <w:p w:rsidR="00D2692F" w:rsidRDefault="00AF3B3B">
            <w:pPr>
              <w:pStyle w:val="a6"/>
              <w:jc w:val="center"/>
              <w:rPr>
                <w:lang w:val="ru-RU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Тема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lang w:val="ru-RU"/>
              </w:rPr>
              <w:t>лекции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D2692F" w:rsidRDefault="00AF3B3B">
            <w:pPr>
              <w:pStyle w:val="a6"/>
              <w:jc w:val="center"/>
              <w:rPr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  <w:lang w:val="ru-RU"/>
              </w:rPr>
              <w:t>Продожительность</w:t>
            </w:r>
            <w:proofErr w:type="spellEnd"/>
            <w:r>
              <w:rPr>
                <w:b/>
                <w:bCs/>
                <w:sz w:val="21"/>
                <w:szCs w:val="21"/>
                <w:lang w:val="ru-RU"/>
              </w:rPr>
              <w:t xml:space="preserve"> </w:t>
            </w:r>
          </w:p>
        </w:tc>
      </w:tr>
      <w:tr w:rsidR="00D2692F" w:rsidTr="00EB244F">
        <w:trPr>
          <w:tblCellSpacing w:w="15" w:type="dxa"/>
        </w:trPr>
        <w:tc>
          <w:tcPr>
            <w:tcW w:w="231" w:type="pct"/>
            <w:shd w:val="clear" w:color="auto" w:fill="auto"/>
            <w:vAlign w:val="center"/>
          </w:tcPr>
          <w:p w:rsidR="00D2692F" w:rsidRDefault="00AF3B3B">
            <w:pPr>
              <w:pStyle w:val="a6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658" w:type="pct"/>
            <w:shd w:val="clear" w:color="auto" w:fill="auto"/>
            <w:vAlign w:val="center"/>
          </w:tcPr>
          <w:p w:rsidR="00D2692F" w:rsidRDefault="00AF3B3B">
            <w:pPr>
              <w:pStyle w:val="a6"/>
              <w:spacing w:beforeAutospacing="0" w:afterAutospacing="0"/>
              <w:rPr>
                <w:rStyle w:val="a3"/>
                <w:sz w:val="21"/>
                <w:szCs w:val="21"/>
                <w:lang w:val="ru-RU"/>
              </w:rPr>
            </w:pPr>
            <w:r>
              <w:rPr>
                <w:rStyle w:val="a3"/>
                <w:sz w:val="21"/>
                <w:szCs w:val="21"/>
                <w:lang w:val="ru-RU"/>
              </w:rPr>
              <w:t>Хроническая болезнь почек. Вводное занятие</w:t>
            </w:r>
            <w:proofErr w:type="gramStart"/>
            <w:r>
              <w:rPr>
                <w:rStyle w:val="a3"/>
                <w:sz w:val="21"/>
                <w:szCs w:val="21"/>
                <w:lang w:val="ru-RU"/>
              </w:rPr>
              <w:t>.</w:t>
            </w:r>
            <w:proofErr w:type="gramEnd"/>
            <w:r>
              <w:rPr>
                <w:rStyle w:val="a3"/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(</w:t>
            </w:r>
            <w:proofErr w:type="gramStart"/>
            <w:r>
              <w:rPr>
                <w:sz w:val="21"/>
                <w:szCs w:val="21"/>
                <w:lang w:val="ru-RU"/>
              </w:rPr>
              <w:t>п</w:t>
            </w:r>
            <w:proofErr w:type="gramEnd"/>
            <w:r>
              <w:rPr>
                <w:sz w:val="21"/>
                <w:szCs w:val="21"/>
                <w:lang w:val="ru-RU"/>
              </w:rPr>
              <w:t xml:space="preserve">риложение 1) 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lang w:val="ru-RU"/>
              </w:rPr>
              <w:br/>
            </w:r>
            <w:r>
              <w:rPr>
                <w:sz w:val="21"/>
                <w:szCs w:val="21"/>
                <w:lang w:val="ru-RU"/>
              </w:rPr>
              <w:t>- Что такое хроническая болезнь почек?</w:t>
            </w:r>
            <w:r>
              <w:rPr>
                <w:sz w:val="21"/>
                <w:szCs w:val="21"/>
                <w:lang w:val="ru-RU"/>
              </w:rPr>
              <w:t xml:space="preserve">  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- Факторы риска развития и прогрессирования ХБП. 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- Роль окружающей среды, питания, вредных привычек, течение беременности.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- Роль социально-значимых заболеваний в развитии</w:t>
            </w:r>
            <w:proofErr w:type="gramStart"/>
            <w:r>
              <w:rPr>
                <w:sz w:val="21"/>
                <w:szCs w:val="21"/>
                <w:lang w:val="ru-RU"/>
              </w:rPr>
              <w:t>.</w:t>
            </w:r>
            <w:proofErr w:type="gramEnd"/>
            <w:r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1"/>
                <w:szCs w:val="21"/>
                <w:lang w:val="ru-RU"/>
              </w:rPr>
              <w:t>х</w:t>
            </w:r>
            <w:proofErr w:type="gramEnd"/>
            <w:r>
              <w:rPr>
                <w:sz w:val="21"/>
                <w:szCs w:val="21"/>
                <w:lang w:val="ru-RU"/>
              </w:rPr>
              <w:t>роничечкой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 болезни почек.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- Первичные и вторичные поражения почек.</w:t>
            </w:r>
            <w:r>
              <w:rPr>
                <w:lang w:val="ru-RU"/>
              </w:rPr>
              <w:br/>
            </w:r>
            <w:r>
              <w:rPr>
                <w:sz w:val="21"/>
                <w:szCs w:val="21"/>
                <w:lang w:val="ru-RU"/>
              </w:rPr>
              <w:t xml:space="preserve">- Клинические </w:t>
            </w:r>
            <w:r>
              <w:rPr>
                <w:sz w:val="21"/>
                <w:szCs w:val="21"/>
                <w:lang w:val="ru-RU"/>
              </w:rPr>
              <w:t>проявления хронической болезни почек.</w:t>
            </w:r>
            <w:r>
              <w:rPr>
                <w:lang w:val="ru-RU"/>
              </w:rPr>
              <w:br/>
            </w:r>
            <w:r>
              <w:rPr>
                <w:sz w:val="21"/>
                <w:szCs w:val="21"/>
                <w:lang w:val="ru-RU"/>
              </w:rPr>
              <w:t>- Стадии хронической почечной недостаточности.</w:t>
            </w:r>
            <w:r>
              <w:rPr>
                <w:lang w:val="ru-RU"/>
              </w:rPr>
              <w:br/>
            </w:r>
            <w:r>
              <w:rPr>
                <w:sz w:val="21"/>
                <w:szCs w:val="21"/>
                <w:lang w:val="ru-RU"/>
              </w:rPr>
              <w:t>- Возможные пути замедления прогрессирования ХБП.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- Понятие о </w:t>
            </w:r>
            <w:proofErr w:type="gramStart"/>
            <w:r>
              <w:rPr>
                <w:sz w:val="21"/>
                <w:szCs w:val="21"/>
                <w:lang w:val="ru-RU"/>
              </w:rPr>
              <w:t>терминальной</w:t>
            </w:r>
            <w:proofErr w:type="gramEnd"/>
            <w:r>
              <w:rPr>
                <w:sz w:val="21"/>
                <w:szCs w:val="21"/>
                <w:lang w:val="ru-RU"/>
              </w:rPr>
              <w:t xml:space="preserve"> ХПН.</w:t>
            </w:r>
            <w:r>
              <w:rPr>
                <w:sz w:val="21"/>
                <w:szCs w:val="21"/>
                <w:lang w:val="ru-RU"/>
              </w:rPr>
              <w:br/>
              <w:t>- Роль профилактических осмотров</w:t>
            </w:r>
            <w:r>
              <w:rPr>
                <w:sz w:val="21"/>
                <w:szCs w:val="21"/>
                <w:lang w:val="ru-RU"/>
              </w:rPr>
              <w:t xml:space="preserve"> и диспансеризации взрослого населения</w:t>
            </w:r>
            <w:r>
              <w:rPr>
                <w:sz w:val="21"/>
                <w:szCs w:val="21"/>
                <w:lang w:val="ru-RU"/>
              </w:rPr>
              <w:t>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- Диспансерное</w:t>
            </w:r>
            <w:r>
              <w:rPr>
                <w:sz w:val="21"/>
                <w:szCs w:val="21"/>
                <w:lang w:val="ru-RU"/>
              </w:rPr>
              <w:t xml:space="preserve"> наблюдение. </w:t>
            </w:r>
          </w:p>
          <w:p w:rsidR="00D2692F" w:rsidRDefault="00AF3B3B">
            <w:pPr>
              <w:pStyle w:val="a6"/>
              <w:spacing w:beforeAutospacing="0" w:afterAutospacing="0"/>
              <w:rPr>
                <w:rStyle w:val="a3"/>
                <w:b w:val="0"/>
                <w:bCs w:val="0"/>
                <w:sz w:val="21"/>
                <w:szCs w:val="21"/>
                <w:lang w:val="ru-RU"/>
              </w:rPr>
            </w:pPr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>- Основные нормативно-правовые акты по организации медицинской помощи пациентам с хронической болезнью почек.</w:t>
            </w:r>
          </w:p>
          <w:p w:rsidR="00D2692F" w:rsidRDefault="00AF3B3B">
            <w:pPr>
              <w:pStyle w:val="a6"/>
              <w:spacing w:beforeAutospacing="0" w:afterAutospacing="0"/>
              <w:rPr>
                <w:rStyle w:val="a3"/>
                <w:b w:val="0"/>
                <w:bCs w:val="0"/>
                <w:sz w:val="21"/>
                <w:szCs w:val="21"/>
                <w:lang w:val="ru-RU"/>
              </w:rPr>
            </w:pPr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 xml:space="preserve">- Структура </w:t>
            </w:r>
            <w:proofErr w:type="spellStart"/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>нефрологической</w:t>
            </w:r>
            <w:proofErr w:type="spellEnd"/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 xml:space="preserve"> службы Пермского края.</w:t>
            </w:r>
          </w:p>
          <w:p w:rsidR="00D2692F" w:rsidRDefault="00AF3B3B">
            <w:pPr>
              <w:pStyle w:val="a6"/>
              <w:spacing w:beforeAutospacing="0" w:afterAutospacing="0"/>
              <w:rPr>
                <w:rStyle w:val="a3"/>
                <w:b w:val="0"/>
                <w:bCs w:val="0"/>
                <w:sz w:val="21"/>
                <w:szCs w:val="21"/>
                <w:lang w:val="ru-RU"/>
              </w:rPr>
            </w:pPr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>- Вопросы организации санаторно-курортного лечения.</w:t>
            </w:r>
          </w:p>
          <w:p w:rsidR="00D2692F" w:rsidRDefault="00AF3B3B">
            <w:pPr>
              <w:pStyle w:val="a6"/>
              <w:spacing w:beforeAutospacing="0" w:afterAutospacing="0"/>
              <w:rPr>
                <w:rStyle w:val="a3"/>
                <w:b w:val="0"/>
                <w:bCs w:val="0"/>
                <w:sz w:val="21"/>
                <w:szCs w:val="21"/>
                <w:lang w:val="ru-RU"/>
              </w:rPr>
            </w:pPr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>- Освидетельствование на МСЭ.</w:t>
            </w:r>
          </w:p>
          <w:p w:rsidR="00D2692F" w:rsidRDefault="00AF3B3B">
            <w:pPr>
              <w:pStyle w:val="a6"/>
              <w:spacing w:beforeAutospacing="0" w:afterAutospacing="0"/>
              <w:rPr>
                <w:rStyle w:val="a3"/>
                <w:sz w:val="21"/>
                <w:szCs w:val="21"/>
              </w:rPr>
            </w:pPr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 xml:space="preserve">- Вопросы компенсации расходов на осуществление транспортировки при оказании лечебно-диагностических мероприятий по профилю «нефрология». </w:t>
            </w:r>
          </w:p>
          <w:p w:rsidR="00D2692F" w:rsidRDefault="00D2692F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:rsidR="00D2692F" w:rsidRDefault="00AF3B3B">
            <w:pPr>
              <w:pStyle w:val="a6"/>
              <w:jc w:val="center"/>
              <w:rPr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20 мин </w:t>
            </w:r>
          </w:p>
        </w:tc>
      </w:tr>
      <w:tr w:rsidR="00D2692F" w:rsidTr="00EB244F">
        <w:trPr>
          <w:tblCellSpacing w:w="15" w:type="dxa"/>
        </w:trPr>
        <w:tc>
          <w:tcPr>
            <w:tcW w:w="231" w:type="pct"/>
            <w:shd w:val="clear" w:color="auto" w:fill="auto"/>
            <w:vAlign w:val="center"/>
          </w:tcPr>
          <w:p w:rsidR="00D2692F" w:rsidRDefault="00AF3B3B">
            <w:pPr>
              <w:pStyle w:val="a6"/>
              <w:jc w:val="center"/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658" w:type="pct"/>
            <w:shd w:val="clear" w:color="auto" w:fill="auto"/>
            <w:vAlign w:val="center"/>
          </w:tcPr>
          <w:p w:rsidR="00D2692F" w:rsidRDefault="00AF3B3B">
            <w:pPr>
              <w:pStyle w:val="a6"/>
              <w:rPr>
                <w:b/>
                <w:bCs/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 xml:space="preserve">Особенности лекарственной терапии у пациентов с хронической болезнью почек. 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- Особенности </w:t>
            </w:r>
            <w:proofErr w:type="spellStart"/>
            <w:r>
              <w:rPr>
                <w:sz w:val="21"/>
                <w:szCs w:val="21"/>
                <w:lang w:val="ru-RU"/>
              </w:rPr>
              <w:t>фармакокинетики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 и </w:t>
            </w:r>
            <w:proofErr w:type="spellStart"/>
            <w:r>
              <w:rPr>
                <w:sz w:val="21"/>
                <w:szCs w:val="21"/>
                <w:lang w:val="ru-RU"/>
              </w:rPr>
              <w:t>фармакодинамики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 лекарственных сре</w:t>
            </w:r>
            <w:proofErr w:type="gramStart"/>
            <w:r>
              <w:rPr>
                <w:sz w:val="21"/>
                <w:szCs w:val="21"/>
                <w:lang w:val="ru-RU"/>
              </w:rPr>
              <w:t>дств в з</w:t>
            </w:r>
            <w:proofErr w:type="gramEnd"/>
            <w:r>
              <w:rPr>
                <w:sz w:val="21"/>
                <w:szCs w:val="21"/>
                <w:lang w:val="ru-RU"/>
              </w:rPr>
              <w:t>ависимости от стадии ХБП.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- Лечение основного заболевания.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- Лечение осложнений ХБП.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- </w:t>
            </w:r>
            <w:proofErr w:type="spellStart"/>
            <w:r>
              <w:rPr>
                <w:sz w:val="21"/>
                <w:szCs w:val="21"/>
                <w:lang w:val="ru-RU"/>
              </w:rPr>
              <w:t>Нефротоксичные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 лекарственные препараты.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lastRenderedPageBreak/>
              <w:t xml:space="preserve">- </w:t>
            </w:r>
            <w:proofErr w:type="spellStart"/>
            <w:r>
              <w:rPr>
                <w:sz w:val="21"/>
                <w:szCs w:val="21"/>
                <w:lang w:val="ru-RU"/>
              </w:rPr>
              <w:t>Нефротоксичные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 комбинации </w:t>
            </w:r>
            <w:proofErr w:type="gramStart"/>
            <w:r>
              <w:rPr>
                <w:sz w:val="21"/>
                <w:szCs w:val="21"/>
                <w:lang w:val="ru-RU"/>
              </w:rPr>
              <w:t>лекарственных</w:t>
            </w:r>
            <w:proofErr w:type="gramEnd"/>
            <w:r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ru-RU"/>
              </w:rPr>
              <w:t>пепаратов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. </w:t>
            </w:r>
            <w:r>
              <w:rPr>
                <w:sz w:val="21"/>
                <w:szCs w:val="21"/>
                <w:lang w:val="ru-RU"/>
              </w:rPr>
              <w:br/>
            </w:r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 xml:space="preserve">- </w:t>
            </w:r>
            <w:r>
              <w:rPr>
                <w:sz w:val="21"/>
                <w:szCs w:val="21"/>
                <w:lang w:val="ru-RU"/>
              </w:rPr>
              <w:t>Доступная и со</w:t>
            </w:r>
            <w:r>
              <w:rPr>
                <w:sz w:val="21"/>
                <w:szCs w:val="21"/>
                <w:lang w:val="ru-RU"/>
              </w:rPr>
              <w:t xml:space="preserve">временная </w:t>
            </w:r>
            <w:proofErr w:type="spellStart"/>
            <w:r>
              <w:rPr>
                <w:sz w:val="21"/>
                <w:szCs w:val="21"/>
                <w:lang w:val="ru-RU"/>
              </w:rPr>
              <w:t>нефропротекция</w:t>
            </w:r>
            <w:proofErr w:type="spellEnd"/>
            <w:r>
              <w:rPr>
                <w:sz w:val="21"/>
                <w:szCs w:val="21"/>
                <w:lang w:val="ru-RU"/>
              </w:rPr>
              <w:t>.</w:t>
            </w:r>
            <w:r>
              <w:rPr>
                <w:sz w:val="21"/>
                <w:szCs w:val="21"/>
                <w:lang w:val="ru-RU"/>
              </w:rPr>
              <w:br/>
            </w:r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>-</w:t>
            </w:r>
            <w:r>
              <w:rPr>
                <w:rStyle w:val="a3"/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Модификация патогенетической терапии в зависимости от уровня скорости клубочковой фильтрации.</w:t>
            </w:r>
            <w:r>
              <w:rPr>
                <w:sz w:val="21"/>
                <w:szCs w:val="21"/>
                <w:lang w:val="ru-RU"/>
              </w:rPr>
              <w:br/>
              <w:t>- Возможные побочные эффекты и нежелательные реакции.</w:t>
            </w:r>
          </w:p>
          <w:p w:rsidR="00D2692F" w:rsidRDefault="00AF3B3B">
            <w:pPr>
              <w:pStyle w:val="a6"/>
              <w:spacing w:beforeAutospacing="0" w:afterAutospacing="0"/>
              <w:rPr>
                <w:rStyle w:val="a3"/>
                <w:sz w:val="21"/>
                <w:szCs w:val="21"/>
                <w:lang w:val="ru-RU"/>
              </w:rPr>
            </w:pPr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>- Организация лекарственного обеспечения пациентов с ХБП по основному и сопутств</w:t>
            </w:r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>ующим заболеваниям.</w:t>
            </w:r>
          </w:p>
          <w:p w:rsidR="00D2692F" w:rsidRDefault="00D2692F">
            <w:pPr>
              <w:pStyle w:val="a6"/>
              <w:spacing w:beforeAutospacing="0" w:afterAutospacing="0"/>
              <w:rPr>
                <w:lang w:val="ru-RU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:rsidR="00D2692F" w:rsidRDefault="00AF3B3B">
            <w:pPr>
              <w:widowControl/>
              <w:jc w:val="center"/>
            </w:pPr>
            <w:r>
              <w:rPr>
                <w:szCs w:val="21"/>
              </w:rPr>
              <w:lastRenderedPageBreak/>
              <w:t xml:space="preserve">25  минут </w:t>
            </w:r>
          </w:p>
        </w:tc>
      </w:tr>
      <w:tr w:rsidR="00D2692F" w:rsidTr="00EB244F">
        <w:trPr>
          <w:tblCellSpacing w:w="15" w:type="dxa"/>
        </w:trPr>
        <w:tc>
          <w:tcPr>
            <w:tcW w:w="231" w:type="pct"/>
            <w:shd w:val="clear" w:color="auto" w:fill="auto"/>
            <w:vAlign w:val="center"/>
          </w:tcPr>
          <w:p w:rsidR="00D2692F" w:rsidRDefault="00AF3B3B">
            <w:pPr>
              <w:pStyle w:val="a6"/>
              <w:jc w:val="center"/>
            </w:pPr>
            <w:r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3658" w:type="pct"/>
            <w:shd w:val="clear" w:color="auto" w:fill="auto"/>
            <w:vAlign w:val="center"/>
          </w:tcPr>
          <w:p w:rsidR="00D2692F" w:rsidRDefault="00AF3B3B">
            <w:pPr>
              <w:pStyle w:val="a6"/>
              <w:spacing w:beforeAutospacing="0" w:afterAutospacing="0"/>
              <w:rPr>
                <w:rStyle w:val="a3"/>
                <w:sz w:val="21"/>
                <w:szCs w:val="21"/>
                <w:lang w:val="ru-RU"/>
              </w:rPr>
            </w:pPr>
            <w:r>
              <w:rPr>
                <w:rStyle w:val="a3"/>
                <w:sz w:val="21"/>
                <w:szCs w:val="21"/>
                <w:lang w:val="ru-RU"/>
              </w:rPr>
              <w:t>Немедикаментозное лечение и немедицинские аспекты ХБП</w:t>
            </w:r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 xml:space="preserve"> (приложение</w:t>
            </w:r>
            <w:proofErr w:type="gramStart"/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>2</w:t>
            </w:r>
            <w:proofErr w:type="gramEnd"/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>)</w:t>
            </w:r>
          </w:p>
          <w:p w:rsidR="00D2692F" w:rsidRDefault="00AF3B3B">
            <w:pPr>
              <w:pStyle w:val="a6"/>
              <w:spacing w:beforeAutospacing="0" w:afterAutospacing="0"/>
              <w:rPr>
                <w:rStyle w:val="a3"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- Лечебно-охранительный режим.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- Правильный питьевой режим.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- Самоконтроль и учет водного баланса.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- Расчет калорийности питания.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- Расчет суточной </w:t>
            </w:r>
            <w:r>
              <w:rPr>
                <w:sz w:val="21"/>
                <w:szCs w:val="21"/>
                <w:lang w:val="ru-RU"/>
              </w:rPr>
              <w:t>потребности растительного и животного белка, жиров и углеводов.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 xml:space="preserve">- </w:t>
            </w:r>
            <w:r>
              <w:rPr>
                <w:sz w:val="21"/>
                <w:szCs w:val="21"/>
                <w:lang w:val="ru-RU"/>
              </w:rPr>
              <w:t xml:space="preserve">Профилактика </w:t>
            </w:r>
            <w:proofErr w:type="spellStart"/>
            <w:r>
              <w:rPr>
                <w:sz w:val="21"/>
                <w:szCs w:val="21"/>
                <w:lang w:val="ru-RU"/>
              </w:rPr>
              <w:t>белково</w:t>
            </w:r>
            <w:proofErr w:type="spellEnd"/>
            <w:r>
              <w:rPr>
                <w:sz w:val="21"/>
                <w:szCs w:val="21"/>
                <w:lang w:val="ru-RU"/>
              </w:rPr>
              <w:t>-энергетической недостаточности.</w:t>
            </w:r>
            <w:r>
              <w:rPr>
                <w:lang w:val="ru-RU"/>
              </w:rPr>
              <w:br/>
            </w:r>
            <w:r>
              <w:rPr>
                <w:sz w:val="21"/>
                <w:szCs w:val="21"/>
                <w:lang w:val="ru-RU"/>
              </w:rPr>
              <w:t>- Гипофосфатная диета. Расчет суточной потребности продуктов, содержащих фосфор.</w:t>
            </w:r>
            <w:r>
              <w:rPr>
                <w:lang w:val="ru-RU"/>
              </w:rPr>
              <w:br/>
            </w:r>
            <w:r>
              <w:rPr>
                <w:sz w:val="21"/>
                <w:szCs w:val="21"/>
                <w:lang w:val="ru-RU"/>
              </w:rPr>
              <w:t xml:space="preserve">- </w:t>
            </w:r>
            <w:proofErr w:type="spellStart"/>
            <w:r>
              <w:rPr>
                <w:sz w:val="21"/>
                <w:szCs w:val="21"/>
                <w:lang w:val="ru-RU"/>
              </w:rPr>
              <w:t>Гипокалиевая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 диета</w:t>
            </w:r>
            <w:r>
              <w:rPr>
                <w:sz w:val="21"/>
                <w:szCs w:val="21"/>
                <w:lang w:val="ru-RU"/>
              </w:rPr>
              <w:t xml:space="preserve"> (приложение 5)</w:t>
            </w:r>
            <w:r>
              <w:rPr>
                <w:sz w:val="21"/>
                <w:szCs w:val="21"/>
                <w:lang w:val="ru-RU"/>
              </w:rPr>
              <w:t xml:space="preserve">. 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- Ведение пищевого</w:t>
            </w:r>
            <w:r>
              <w:rPr>
                <w:sz w:val="21"/>
                <w:szCs w:val="21"/>
                <w:lang w:val="ru-RU"/>
              </w:rPr>
              <w:t xml:space="preserve"> дневника.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- Уход за собой и </w:t>
            </w:r>
            <w:proofErr w:type="spellStart"/>
            <w:r>
              <w:rPr>
                <w:sz w:val="21"/>
                <w:szCs w:val="21"/>
                <w:lang w:val="ru-RU"/>
              </w:rPr>
              <w:t>сомоконтроль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 за основными витальными показателями.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- Обучение родственников.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- Трудовая деятельность или учеба.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- Спорт и физическая активность.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- Употребление алкоголя.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- Курение.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- Домашние животные.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- Сексуальная активность.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- Беременность и роды.</w:t>
            </w:r>
          </w:p>
          <w:p w:rsidR="00D2692F" w:rsidRDefault="00D2692F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:rsidR="00D2692F" w:rsidRDefault="00AF3B3B">
            <w:pPr>
              <w:widowControl/>
              <w:jc w:val="center"/>
            </w:pPr>
            <w:r>
              <w:rPr>
                <w:szCs w:val="21"/>
              </w:rPr>
              <w:t xml:space="preserve">15 минут </w:t>
            </w:r>
          </w:p>
        </w:tc>
      </w:tr>
      <w:tr w:rsidR="00D2692F" w:rsidTr="00EB244F">
        <w:trPr>
          <w:tblCellSpacing w:w="15" w:type="dxa"/>
        </w:trPr>
        <w:tc>
          <w:tcPr>
            <w:tcW w:w="231" w:type="pct"/>
            <w:shd w:val="clear" w:color="auto" w:fill="auto"/>
            <w:vAlign w:val="center"/>
          </w:tcPr>
          <w:p w:rsidR="00D2692F" w:rsidRDefault="00AF3B3B">
            <w:pPr>
              <w:pStyle w:val="a6"/>
              <w:jc w:val="center"/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658" w:type="pct"/>
            <w:shd w:val="clear" w:color="auto" w:fill="auto"/>
            <w:vAlign w:val="center"/>
          </w:tcPr>
          <w:p w:rsidR="00D2692F" w:rsidRDefault="00AF3B3B">
            <w:pPr>
              <w:pStyle w:val="a6"/>
              <w:spacing w:beforeAutospacing="0" w:afterAutospacing="0"/>
              <w:rPr>
                <w:rStyle w:val="a3"/>
                <w:sz w:val="21"/>
                <w:szCs w:val="21"/>
                <w:lang w:val="ru-RU"/>
              </w:rPr>
            </w:pPr>
            <w:r>
              <w:rPr>
                <w:rStyle w:val="a3"/>
                <w:sz w:val="21"/>
                <w:szCs w:val="21"/>
                <w:lang w:val="ru-RU"/>
              </w:rPr>
              <w:t>Специфические осложнения хронической болезни почек</w:t>
            </w:r>
          </w:p>
          <w:p w:rsidR="00D2692F" w:rsidRDefault="00D2692F">
            <w:pPr>
              <w:pStyle w:val="a6"/>
              <w:spacing w:beforeAutospacing="0" w:afterAutospacing="0"/>
              <w:rPr>
                <w:rStyle w:val="a3"/>
                <w:sz w:val="21"/>
                <w:szCs w:val="21"/>
                <w:lang w:val="ru-RU"/>
              </w:rPr>
            </w:pPr>
          </w:p>
          <w:p w:rsidR="00D2692F" w:rsidRDefault="00D2692F">
            <w:pPr>
              <w:pStyle w:val="a6"/>
              <w:spacing w:beforeAutospacing="0" w:afterAutospacing="0"/>
              <w:rPr>
                <w:b/>
                <w:bCs/>
                <w:sz w:val="21"/>
                <w:szCs w:val="21"/>
                <w:lang w:val="ru-RU"/>
              </w:rPr>
            </w:pP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- Основные осложнения.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- Зависимость развития осложнений от стадии </w:t>
            </w:r>
            <w:r>
              <w:rPr>
                <w:sz w:val="21"/>
                <w:szCs w:val="21"/>
                <w:lang w:val="ru-RU"/>
              </w:rPr>
              <w:lastRenderedPageBreak/>
              <w:t>хронической болезни почек.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- Влияние осложнений на прогноз течения ХБП и исходы.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- Причины </w:t>
            </w:r>
            <w:r>
              <w:rPr>
                <w:sz w:val="21"/>
                <w:szCs w:val="21"/>
                <w:lang w:val="ru-RU"/>
              </w:rPr>
              <w:t>нарушения водно-электролитного баланса у пациентов с ХБП. Особенности течения в зависимости от стадии ХБП.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- Проявления </w:t>
            </w:r>
            <w:proofErr w:type="spellStart"/>
            <w:r>
              <w:rPr>
                <w:sz w:val="21"/>
                <w:szCs w:val="21"/>
                <w:lang w:val="ru-RU"/>
              </w:rPr>
              <w:t>гипергидратации</w:t>
            </w:r>
            <w:proofErr w:type="spellEnd"/>
            <w:r>
              <w:rPr>
                <w:sz w:val="21"/>
                <w:szCs w:val="21"/>
                <w:lang w:val="ru-RU"/>
              </w:rPr>
              <w:t>. Коррекция состояния.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- </w:t>
            </w:r>
            <w:proofErr w:type="spellStart"/>
            <w:r>
              <w:rPr>
                <w:sz w:val="21"/>
                <w:szCs w:val="21"/>
                <w:lang w:val="ru-RU"/>
              </w:rPr>
              <w:t>Гиперкалиемия</w:t>
            </w:r>
            <w:proofErr w:type="spellEnd"/>
            <w:r>
              <w:rPr>
                <w:sz w:val="21"/>
                <w:szCs w:val="21"/>
                <w:lang w:val="ru-RU"/>
              </w:rPr>
              <w:t>. Клинические и лабораторные проявления. Коррекция состояния.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- </w:t>
            </w:r>
            <w:proofErr w:type="spellStart"/>
            <w:r>
              <w:rPr>
                <w:sz w:val="21"/>
                <w:szCs w:val="21"/>
                <w:lang w:val="ru-RU"/>
              </w:rPr>
              <w:t>Гип</w:t>
            </w:r>
            <w:proofErr w:type="gramStart"/>
            <w:r>
              <w:rPr>
                <w:sz w:val="21"/>
                <w:szCs w:val="21"/>
                <w:lang w:val="ru-RU"/>
              </w:rPr>
              <w:t>о</w:t>
            </w:r>
            <w:proofErr w:type="spellEnd"/>
            <w:r>
              <w:rPr>
                <w:sz w:val="21"/>
                <w:szCs w:val="21"/>
                <w:lang w:val="ru-RU"/>
              </w:rPr>
              <w:t>-</w:t>
            </w:r>
            <w:proofErr w:type="gramEnd"/>
            <w:r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>
              <w:rPr>
                <w:sz w:val="21"/>
                <w:szCs w:val="21"/>
                <w:lang w:val="ru-RU"/>
              </w:rPr>
              <w:t>гиперкальцие</w:t>
            </w:r>
            <w:r>
              <w:rPr>
                <w:sz w:val="21"/>
                <w:szCs w:val="21"/>
                <w:lang w:val="ru-RU"/>
              </w:rPr>
              <w:t>мия</w:t>
            </w:r>
            <w:proofErr w:type="spellEnd"/>
            <w:r>
              <w:rPr>
                <w:sz w:val="21"/>
                <w:szCs w:val="21"/>
                <w:lang w:val="ru-RU"/>
              </w:rPr>
              <w:t>. Клинические и лабораторные проявления. Коррекция состояния.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- </w:t>
            </w:r>
            <w:proofErr w:type="spellStart"/>
            <w:r>
              <w:rPr>
                <w:sz w:val="21"/>
                <w:szCs w:val="21"/>
                <w:lang w:val="ru-RU"/>
              </w:rPr>
              <w:t>Гип</w:t>
            </w:r>
            <w:proofErr w:type="gramStart"/>
            <w:r>
              <w:rPr>
                <w:sz w:val="21"/>
                <w:szCs w:val="21"/>
                <w:lang w:val="ru-RU"/>
              </w:rPr>
              <w:t>о</w:t>
            </w:r>
            <w:proofErr w:type="spellEnd"/>
            <w:r>
              <w:rPr>
                <w:sz w:val="21"/>
                <w:szCs w:val="21"/>
                <w:lang w:val="ru-RU"/>
              </w:rPr>
              <w:t>-</w:t>
            </w:r>
            <w:proofErr w:type="gramEnd"/>
            <w:r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>
              <w:rPr>
                <w:sz w:val="21"/>
                <w:szCs w:val="21"/>
                <w:lang w:val="ru-RU"/>
              </w:rPr>
              <w:t>гипернатриемия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>
              <w:rPr>
                <w:sz w:val="21"/>
                <w:szCs w:val="21"/>
                <w:lang w:val="ru-RU"/>
              </w:rPr>
              <w:t>гипермагниемия</w:t>
            </w:r>
            <w:proofErr w:type="spellEnd"/>
            <w:r>
              <w:rPr>
                <w:sz w:val="21"/>
                <w:szCs w:val="21"/>
                <w:lang w:val="ru-RU"/>
              </w:rPr>
              <w:t>. Клинические и лабораторные проявления. Коррекция состояния.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 xml:space="preserve">- Причины развития анемии у </w:t>
            </w:r>
            <w:r>
              <w:rPr>
                <w:sz w:val="21"/>
                <w:szCs w:val="21"/>
                <w:lang w:val="ru-RU"/>
              </w:rPr>
              <w:t>пациентов с хронической болезнью почек.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- Клинические и лабора</w:t>
            </w:r>
            <w:r>
              <w:rPr>
                <w:sz w:val="21"/>
                <w:szCs w:val="21"/>
                <w:lang w:val="ru-RU"/>
              </w:rPr>
              <w:t>торные проявления анемии.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- Методы обследования.</w:t>
            </w:r>
            <w:r>
              <w:rPr>
                <w:sz w:val="21"/>
                <w:szCs w:val="21"/>
                <w:lang w:val="ru-RU"/>
              </w:rPr>
              <w:br/>
              <w:t>- Основные принципы лечения анемии при ХБП.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 xml:space="preserve">- Причины развития минерально-костных нарушений у </w:t>
            </w:r>
            <w:r>
              <w:rPr>
                <w:sz w:val="21"/>
                <w:szCs w:val="21"/>
                <w:lang w:val="ru-RU"/>
              </w:rPr>
              <w:t>пациентов с хронической болезнью почек.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>-</w:t>
            </w:r>
            <w:r>
              <w:rPr>
                <w:rStyle w:val="a3"/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 xml:space="preserve">Понятие о почечной остеодистрофии и </w:t>
            </w:r>
            <w:proofErr w:type="gramStart"/>
            <w:r>
              <w:rPr>
                <w:sz w:val="21"/>
                <w:szCs w:val="21"/>
                <w:lang w:val="ru-RU"/>
              </w:rPr>
              <w:t>вторичном</w:t>
            </w:r>
            <w:proofErr w:type="gramEnd"/>
            <w:r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ru-RU"/>
              </w:rPr>
              <w:t>гиперпаратиреозе</w:t>
            </w:r>
            <w:proofErr w:type="spellEnd"/>
            <w:r>
              <w:rPr>
                <w:sz w:val="21"/>
                <w:szCs w:val="21"/>
                <w:lang w:val="ru-RU"/>
              </w:rPr>
              <w:t>.</w:t>
            </w:r>
            <w:r>
              <w:rPr>
                <w:sz w:val="21"/>
                <w:szCs w:val="21"/>
                <w:lang w:val="ru-RU"/>
              </w:rPr>
              <w:br/>
              <w:t>- Клини</w:t>
            </w:r>
            <w:r>
              <w:rPr>
                <w:sz w:val="21"/>
                <w:szCs w:val="21"/>
                <w:lang w:val="ru-RU"/>
              </w:rPr>
              <w:t>ческие и лабораторные проявления.</w:t>
            </w:r>
          </w:p>
          <w:p w:rsidR="00D2692F" w:rsidRDefault="00AF3B3B">
            <w:pPr>
              <w:pStyle w:val="a6"/>
              <w:spacing w:beforeAutospacing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- Методы обследования.</w:t>
            </w:r>
            <w:r>
              <w:rPr>
                <w:sz w:val="21"/>
                <w:szCs w:val="21"/>
                <w:lang w:val="ru-RU"/>
              </w:rPr>
              <w:br/>
              <w:t>- Лекарственная терапия минерально-костных нарушений.</w:t>
            </w:r>
          </w:p>
          <w:p w:rsidR="00D2692F" w:rsidRDefault="00AF3B3B">
            <w:pPr>
              <w:pStyle w:val="a6"/>
              <w:spacing w:beforeAutospacing="0" w:afterAutospacing="0"/>
              <w:rPr>
                <w:rStyle w:val="a3"/>
                <w:b w:val="0"/>
                <w:bCs w:val="0"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- Показания к хирургическим методам коррекции минерально-костных нарушений.</w:t>
            </w:r>
          </w:p>
          <w:p w:rsidR="00D2692F" w:rsidRDefault="00D2692F">
            <w:pPr>
              <w:pStyle w:val="a6"/>
              <w:spacing w:beforeAutospacing="0" w:afterAutospacing="0"/>
              <w:rPr>
                <w:rStyle w:val="a3"/>
                <w:b w:val="0"/>
                <w:bCs w:val="0"/>
                <w:sz w:val="21"/>
                <w:szCs w:val="21"/>
                <w:lang w:val="ru-RU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:rsidR="00D2692F" w:rsidRDefault="00AF3B3B">
            <w:pPr>
              <w:widowControl/>
              <w:jc w:val="center"/>
            </w:pPr>
            <w:r>
              <w:rPr>
                <w:szCs w:val="21"/>
              </w:rPr>
              <w:lastRenderedPageBreak/>
              <w:t xml:space="preserve">15 минут </w:t>
            </w:r>
          </w:p>
        </w:tc>
      </w:tr>
      <w:tr w:rsidR="00D2692F" w:rsidTr="00EB244F">
        <w:trPr>
          <w:tblCellSpacing w:w="15" w:type="dxa"/>
        </w:trPr>
        <w:tc>
          <w:tcPr>
            <w:tcW w:w="231" w:type="pct"/>
            <w:shd w:val="clear" w:color="auto" w:fill="auto"/>
            <w:vAlign w:val="center"/>
          </w:tcPr>
          <w:p w:rsidR="00D2692F" w:rsidRDefault="00AF3B3B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3658" w:type="pct"/>
            <w:shd w:val="clear" w:color="auto" w:fill="auto"/>
            <w:vAlign w:val="center"/>
          </w:tcPr>
          <w:p w:rsidR="00D2692F" w:rsidRDefault="00AF3B3B">
            <w:pPr>
              <w:pStyle w:val="a6"/>
              <w:rPr>
                <w:rStyle w:val="a3"/>
                <w:sz w:val="21"/>
                <w:szCs w:val="21"/>
                <w:lang w:val="ru-RU"/>
              </w:rPr>
            </w:pPr>
            <w:r>
              <w:rPr>
                <w:rStyle w:val="a3"/>
                <w:sz w:val="21"/>
                <w:szCs w:val="21"/>
                <w:lang w:val="ru-RU"/>
              </w:rPr>
              <w:t>Хроническая болезнь почек 5 стадии.</w:t>
            </w:r>
          </w:p>
          <w:p w:rsidR="00D2692F" w:rsidRDefault="00AF3B3B">
            <w:pPr>
              <w:pStyle w:val="a6"/>
              <w:spacing w:beforeAutospacing="0" w:afterAutospacing="0"/>
              <w:rPr>
                <w:rStyle w:val="a3"/>
                <w:b w:val="0"/>
                <w:bCs w:val="0"/>
                <w:sz w:val="21"/>
                <w:szCs w:val="21"/>
                <w:lang w:val="ru-RU"/>
              </w:rPr>
            </w:pPr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 xml:space="preserve">- Динамическое </w:t>
            </w:r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>наблюдение. Диспансерное</w:t>
            </w:r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 xml:space="preserve"> наблюдение. </w:t>
            </w:r>
          </w:p>
          <w:p w:rsidR="00D2692F" w:rsidRDefault="00AF3B3B">
            <w:pPr>
              <w:pStyle w:val="a6"/>
              <w:spacing w:beforeAutospacing="0" w:afterAutospacing="0"/>
              <w:rPr>
                <w:rStyle w:val="a3"/>
                <w:b w:val="0"/>
                <w:bCs w:val="0"/>
                <w:sz w:val="21"/>
                <w:szCs w:val="21"/>
                <w:lang w:val="ru-RU"/>
              </w:rPr>
            </w:pPr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>- Особенности диетических ограничений</w:t>
            </w:r>
            <w:proofErr w:type="gramStart"/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 xml:space="preserve"> </w:t>
            </w:r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>.</w:t>
            </w:r>
            <w:proofErr w:type="gramEnd"/>
          </w:p>
          <w:p w:rsidR="00D2692F" w:rsidRDefault="00AF3B3B">
            <w:pPr>
              <w:pStyle w:val="a6"/>
              <w:spacing w:beforeAutospacing="0" w:afterAutospacing="0"/>
              <w:rPr>
                <w:rStyle w:val="a3"/>
                <w:b w:val="0"/>
                <w:bCs w:val="0"/>
                <w:sz w:val="21"/>
                <w:szCs w:val="21"/>
                <w:lang w:val="ru-RU"/>
              </w:rPr>
            </w:pPr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>- Особенности водно-питьевого режима.</w:t>
            </w:r>
          </w:p>
          <w:p w:rsidR="00D2692F" w:rsidRDefault="00AF3B3B">
            <w:pPr>
              <w:pStyle w:val="a6"/>
              <w:spacing w:beforeAutospacing="0" w:afterAutospacing="0"/>
              <w:rPr>
                <w:rStyle w:val="a3"/>
                <w:b w:val="0"/>
                <w:bCs w:val="0"/>
                <w:sz w:val="21"/>
                <w:szCs w:val="21"/>
                <w:lang w:val="ru-RU"/>
              </w:rPr>
            </w:pPr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>- Смена и особенности лекарственной терапии с учетом скорости клубочковой фильтрации.</w:t>
            </w:r>
          </w:p>
          <w:p w:rsidR="00D2692F" w:rsidRDefault="00AF3B3B">
            <w:pPr>
              <w:pStyle w:val="a6"/>
              <w:spacing w:beforeAutospacing="0" w:afterAutospacing="0"/>
              <w:rPr>
                <w:rStyle w:val="a3"/>
                <w:b w:val="0"/>
                <w:bCs w:val="0"/>
                <w:sz w:val="21"/>
                <w:szCs w:val="21"/>
                <w:lang w:val="ru-RU"/>
              </w:rPr>
            </w:pPr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 xml:space="preserve">- Организация лекарственного обеспечения на </w:t>
            </w:r>
            <w:proofErr w:type="spellStart"/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>додиализно</w:t>
            </w:r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>м</w:t>
            </w:r>
            <w:proofErr w:type="spellEnd"/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 xml:space="preserve"> этапе.</w:t>
            </w:r>
          </w:p>
          <w:p w:rsidR="00D2692F" w:rsidRDefault="00AF3B3B">
            <w:pPr>
              <w:pStyle w:val="a6"/>
              <w:spacing w:beforeAutospacing="0" w:afterAutospacing="0"/>
              <w:rPr>
                <w:rStyle w:val="a3"/>
                <w:b w:val="0"/>
                <w:bCs w:val="0"/>
                <w:sz w:val="21"/>
                <w:szCs w:val="21"/>
                <w:lang w:val="ru-RU"/>
              </w:rPr>
            </w:pPr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>- Показания к началу заместительной почечной терапии.</w:t>
            </w:r>
          </w:p>
          <w:p w:rsidR="00D2692F" w:rsidRDefault="00AF3B3B">
            <w:pPr>
              <w:pStyle w:val="a6"/>
              <w:spacing w:beforeAutospacing="0" w:afterAutospacing="0"/>
              <w:rPr>
                <w:rStyle w:val="a3"/>
                <w:b w:val="0"/>
                <w:bCs w:val="0"/>
                <w:sz w:val="21"/>
                <w:szCs w:val="21"/>
                <w:lang w:val="ru-RU"/>
              </w:rPr>
            </w:pPr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>- Виды заместительной почечной терапии.</w:t>
            </w:r>
          </w:p>
          <w:p w:rsidR="00D2692F" w:rsidRDefault="00AF3B3B">
            <w:pPr>
              <w:pStyle w:val="a6"/>
              <w:spacing w:beforeAutospacing="0" w:afterAutospacing="0"/>
              <w:rPr>
                <w:rStyle w:val="a3"/>
                <w:b w:val="0"/>
                <w:bCs w:val="0"/>
                <w:sz w:val="21"/>
                <w:szCs w:val="21"/>
                <w:lang w:val="ru-RU"/>
              </w:rPr>
            </w:pPr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>- Показания и противопоказания к видам ЗПТ.</w:t>
            </w:r>
          </w:p>
          <w:p w:rsidR="00D2692F" w:rsidRDefault="00AF3B3B">
            <w:pPr>
              <w:pStyle w:val="a6"/>
              <w:spacing w:beforeAutospacing="0" w:afterAutospacing="0"/>
              <w:rPr>
                <w:rStyle w:val="a3"/>
                <w:b w:val="0"/>
                <w:bCs w:val="0"/>
                <w:sz w:val="21"/>
                <w:szCs w:val="21"/>
                <w:lang w:val="ru-RU"/>
              </w:rPr>
            </w:pPr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lastRenderedPageBreak/>
              <w:t>- Выбор метода. Плюсы и минусы.</w:t>
            </w:r>
          </w:p>
          <w:p w:rsidR="00D2692F" w:rsidRDefault="00AF3B3B">
            <w:pPr>
              <w:pStyle w:val="a6"/>
              <w:spacing w:beforeAutospacing="0" w:afterAutospacing="0"/>
              <w:rPr>
                <w:rStyle w:val="a3"/>
                <w:b w:val="0"/>
                <w:bCs w:val="0"/>
                <w:sz w:val="21"/>
                <w:szCs w:val="21"/>
                <w:lang w:val="ru-RU"/>
              </w:rPr>
            </w:pPr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>- Алгоритм направления на заместительную почечную терапию.</w:t>
            </w:r>
          </w:p>
          <w:p w:rsidR="00D2692F" w:rsidRDefault="00AF3B3B">
            <w:pPr>
              <w:pStyle w:val="a6"/>
              <w:spacing w:beforeAutospacing="0" w:afterAutospacing="0"/>
              <w:rPr>
                <w:rStyle w:val="a3"/>
                <w:b w:val="0"/>
                <w:bCs w:val="0"/>
                <w:sz w:val="21"/>
                <w:szCs w:val="21"/>
                <w:lang w:val="ru-RU"/>
              </w:rPr>
            </w:pPr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 xml:space="preserve">- Организация </w:t>
            </w:r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>лекарственного обеспечения на диализном этапе.</w:t>
            </w:r>
          </w:p>
          <w:p w:rsidR="00D2692F" w:rsidRDefault="00AF3B3B">
            <w:pPr>
              <w:pStyle w:val="a6"/>
              <w:spacing w:beforeAutospacing="0" w:afterAutospacing="0"/>
              <w:rPr>
                <w:rStyle w:val="a3"/>
                <w:b w:val="0"/>
                <w:bCs w:val="0"/>
                <w:sz w:val="21"/>
                <w:szCs w:val="21"/>
                <w:lang w:val="ru-RU"/>
              </w:rPr>
            </w:pPr>
            <w:r>
              <w:rPr>
                <w:rStyle w:val="a3"/>
                <w:b w:val="0"/>
                <w:bCs w:val="0"/>
                <w:sz w:val="21"/>
                <w:szCs w:val="21"/>
                <w:lang w:val="ru-RU"/>
              </w:rPr>
              <w:t>- Психологические аспекты.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D2692F" w:rsidRDefault="00AF3B3B">
            <w:pPr>
              <w:widowControl/>
              <w:jc w:val="center"/>
            </w:pPr>
            <w:r>
              <w:rPr>
                <w:szCs w:val="21"/>
              </w:rPr>
              <w:lastRenderedPageBreak/>
              <w:t xml:space="preserve">10 минут </w:t>
            </w:r>
          </w:p>
        </w:tc>
      </w:tr>
    </w:tbl>
    <w:p w:rsidR="00D2692F" w:rsidRDefault="00D2692F">
      <w:pPr>
        <w:pStyle w:val="a4"/>
        <w:spacing w:line="252" w:lineRule="exact"/>
        <w:ind w:left="0" w:firstLine="720"/>
        <w:jc w:val="center"/>
        <w:rPr>
          <w:b/>
          <w:bCs/>
          <w:color w:val="000000" w:themeColor="text1"/>
        </w:rPr>
      </w:pPr>
    </w:p>
    <w:p w:rsidR="00D2692F" w:rsidRDefault="00D2692F">
      <w:pPr>
        <w:pStyle w:val="a4"/>
        <w:spacing w:line="252" w:lineRule="exact"/>
        <w:ind w:left="0" w:firstLine="720"/>
        <w:jc w:val="center"/>
        <w:rPr>
          <w:b/>
          <w:bCs/>
          <w:color w:val="000000" w:themeColor="text1"/>
        </w:rPr>
      </w:pPr>
    </w:p>
    <w:p w:rsidR="00D2692F" w:rsidRDefault="00D2692F">
      <w:pPr>
        <w:pStyle w:val="a4"/>
        <w:spacing w:line="252" w:lineRule="exact"/>
        <w:ind w:left="0" w:firstLine="720"/>
        <w:jc w:val="center"/>
        <w:rPr>
          <w:b/>
          <w:bCs/>
          <w:color w:val="000000" w:themeColor="text1"/>
        </w:rPr>
      </w:pPr>
    </w:p>
    <w:p w:rsidR="00D2692F" w:rsidRDefault="00AF3B3B">
      <w:pPr>
        <w:pStyle w:val="a4"/>
        <w:spacing w:line="252" w:lineRule="exact"/>
        <w:ind w:left="0" w:firstLine="72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Заключительная часть – 5 минут</w:t>
      </w:r>
    </w:p>
    <w:p w:rsidR="00D2692F" w:rsidRDefault="00AF3B3B">
      <w:pPr>
        <w:pStyle w:val="a4"/>
        <w:spacing w:line="252" w:lineRule="exact"/>
        <w:ind w:left="0"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Подчеркивается, что игнорирование немедикаментозных методов лечения ХБП затрудняет достижение конечного успеха и снижает эффективность </w:t>
      </w:r>
      <w:r>
        <w:rPr>
          <w:color w:val="000000" w:themeColor="text1"/>
        </w:rPr>
        <w:t>медикаментозных воздействий.</w:t>
      </w:r>
    </w:p>
    <w:p w:rsidR="00D2692F" w:rsidRDefault="00AF3B3B">
      <w:pPr>
        <w:pStyle w:val="a4"/>
        <w:spacing w:line="252" w:lineRule="exact"/>
        <w:ind w:left="0"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Проводится контроль усвоения полученных в школе знаний. Подводятся итоги работы школы, вручение сертификатов.  </w:t>
      </w:r>
    </w:p>
    <w:p w:rsidR="00D2692F" w:rsidRDefault="00AF3B3B">
      <w:pPr>
        <w:pStyle w:val="a4"/>
        <w:spacing w:line="252" w:lineRule="exact"/>
        <w:ind w:left="0"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 Выдача пациенту информации на руки, приложение 1. </w:t>
      </w:r>
    </w:p>
    <w:p w:rsidR="00D2692F" w:rsidRDefault="00D2692F">
      <w:pPr>
        <w:pStyle w:val="a4"/>
        <w:spacing w:line="252" w:lineRule="exact"/>
        <w:ind w:left="0" w:firstLine="720"/>
        <w:jc w:val="both"/>
        <w:rPr>
          <w:color w:val="000000" w:themeColor="text1"/>
        </w:rPr>
      </w:pPr>
    </w:p>
    <w:p w:rsidR="00D2692F" w:rsidRDefault="00D2692F">
      <w:pPr>
        <w:pStyle w:val="a4"/>
        <w:spacing w:line="252" w:lineRule="exact"/>
        <w:ind w:left="0" w:firstLine="720"/>
        <w:jc w:val="both"/>
        <w:rPr>
          <w:color w:val="000000" w:themeColor="text1"/>
        </w:rPr>
      </w:pPr>
    </w:p>
    <w:p w:rsidR="00D2692F" w:rsidRDefault="00D2692F">
      <w:pPr>
        <w:pStyle w:val="a4"/>
        <w:spacing w:line="252" w:lineRule="exact"/>
        <w:ind w:left="0" w:firstLine="720"/>
        <w:jc w:val="both"/>
        <w:rPr>
          <w:color w:val="0000FF"/>
        </w:rPr>
      </w:pPr>
    </w:p>
    <w:p w:rsidR="00D2692F" w:rsidRDefault="00D2692F">
      <w:pPr>
        <w:pStyle w:val="a4"/>
        <w:spacing w:line="252" w:lineRule="exact"/>
        <w:ind w:left="0" w:firstLine="720"/>
        <w:jc w:val="both"/>
        <w:rPr>
          <w:color w:val="0000FF"/>
        </w:rPr>
      </w:pPr>
    </w:p>
    <w:p w:rsidR="00D2692F" w:rsidRDefault="00D2692F">
      <w:pPr>
        <w:pStyle w:val="a4"/>
        <w:spacing w:line="252" w:lineRule="exact"/>
        <w:ind w:left="0" w:firstLine="720"/>
        <w:jc w:val="both"/>
        <w:rPr>
          <w:color w:val="0000FF"/>
        </w:rPr>
      </w:pPr>
    </w:p>
    <w:p w:rsidR="00D2692F" w:rsidRDefault="00D2692F">
      <w:pPr>
        <w:pStyle w:val="a4"/>
        <w:spacing w:line="252" w:lineRule="exact"/>
        <w:ind w:left="0" w:firstLine="720"/>
        <w:jc w:val="both"/>
        <w:rPr>
          <w:color w:val="0000FF"/>
        </w:rPr>
      </w:pPr>
    </w:p>
    <w:p w:rsidR="00D2692F" w:rsidRDefault="00D2692F">
      <w:pPr>
        <w:pStyle w:val="a4"/>
        <w:spacing w:line="252" w:lineRule="exact"/>
        <w:ind w:left="0" w:firstLine="720"/>
        <w:jc w:val="both"/>
        <w:rPr>
          <w:color w:val="0000FF"/>
        </w:rPr>
      </w:pPr>
    </w:p>
    <w:p w:rsidR="00D2692F" w:rsidRDefault="00D2692F">
      <w:pPr>
        <w:pStyle w:val="a4"/>
        <w:spacing w:line="252" w:lineRule="exact"/>
        <w:ind w:left="0" w:firstLine="720"/>
        <w:jc w:val="both"/>
        <w:rPr>
          <w:color w:val="0000FF"/>
        </w:rPr>
      </w:pPr>
    </w:p>
    <w:p w:rsidR="00D2692F" w:rsidRDefault="00D2692F">
      <w:pPr>
        <w:pStyle w:val="a4"/>
        <w:spacing w:line="252" w:lineRule="exact"/>
        <w:ind w:left="0" w:firstLine="720"/>
        <w:jc w:val="both"/>
        <w:rPr>
          <w:color w:val="0000FF"/>
        </w:rPr>
      </w:pPr>
    </w:p>
    <w:p w:rsidR="00D2692F" w:rsidRDefault="00D2692F">
      <w:pPr>
        <w:pStyle w:val="a4"/>
        <w:spacing w:line="252" w:lineRule="exact"/>
        <w:ind w:left="0" w:firstLine="720"/>
        <w:jc w:val="both"/>
        <w:rPr>
          <w:color w:val="0000FF"/>
        </w:rPr>
      </w:pPr>
    </w:p>
    <w:p w:rsidR="00D2692F" w:rsidRDefault="00D2692F">
      <w:pPr>
        <w:pStyle w:val="a4"/>
        <w:spacing w:line="252" w:lineRule="exact"/>
        <w:ind w:left="0" w:firstLine="720"/>
        <w:jc w:val="both"/>
        <w:rPr>
          <w:color w:val="0000FF"/>
        </w:rPr>
      </w:pPr>
    </w:p>
    <w:p w:rsidR="00D2692F" w:rsidRDefault="00D2692F">
      <w:pPr>
        <w:pStyle w:val="a4"/>
        <w:spacing w:line="252" w:lineRule="exact"/>
        <w:ind w:left="0" w:firstLine="720"/>
        <w:jc w:val="both"/>
        <w:rPr>
          <w:color w:val="0000FF"/>
        </w:rPr>
      </w:pPr>
    </w:p>
    <w:p w:rsidR="00D2692F" w:rsidRDefault="00D2692F">
      <w:pPr>
        <w:pStyle w:val="a4"/>
        <w:spacing w:line="252" w:lineRule="exact"/>
        <w:ind w:left="0" w:firstLine="720"/>
        <w:jc w:val="both"/>
        <w:rPr>
          <w:color w:val="0000FF"/>
        </w:rPr>
      </w:pPr>
    </w:p>
    <w:p w:rsidR="00D2692F" w:rsidRDefault="00D2692F">
      <w:pPr>
        <w:pStyle w:val="a4"/>
        <w:spacing w:line="252" w:lineRule="exact"/>
        <w:ind w:left="0" w:firstLine="720"/>
        <w:jc w:val="both"/>
        <w:rPr>
          <w:color w:val="0000FF"/>
        </w:rPr>
      </w:pPr>
    </w:p>
    <w:p w:rsidR="00D2692F" w:rsidRDefault="00D2692F">
      <w:pPr>
        <w:pStyle w:val="a4"/>
        <w:spacing w:line="252" w:lineRule="exact"/>
        <w:ind w:left="0" w:firstLine="720"/>
        <w:jc w:val="both"/>
        <w:rPr>
          <w:color w:val="0000FF"/>
        </w:rPr>
      </w:pPr>
    </w:p>
    <w:p w:rsidR="00D2692F" w:rsidRDefault="00D2692F">
      <w:pPr>
        <w:pStyle w:val="a4"/>
        <w:spacing w:line="252" w:lineRule="exact"/>
        <w:ind w:left="0" w:firstLine="720"/>
        <w:jc w:val="both"/>
        <w:rPr>
          <w:color w:val="0000FF"/>
        </w:rPr>
      </w:pPr>
    </w:p>
    <w:p w:rsidR="00D2692F" w:rsidRDefault="00D2692F">
      <w:pPr>
        <w:pStyle w:val="a4"/>
        <w:spacing w:line="252" w:lineRule="exact"/>
        <w:ind w:left="0" w:firstLine="720"/>
        <w:jc w:val="both"/>
        <w:rPr>
          <w:color w:val="0000FF"/>
        </w:rPr>
      </w:pPr>
    </w:p>
    <w:p w:rsidR="00D2692F" w:rsidRDefault="00D2692F">
      <w:pPr>
        <w:pStyle w:val="a4"/>
        <w:spacing w:line="252" w:lineRule="exact"/>
        <w:ind w:left="0" w:firstLine="720"/>
        <w:jc w:val="both"/>
        <w:rPr>
          <w:color w:val="0000FF"/>
        </w:rPr>
      </w:pPr>
    </w:p>
    <w:p w:rsidR="00D2692F" w:rsidRDefault="00D2692F">
      <w:pPr>
        <w:pStyle w:val="a4"/>
        <w:spacing w:line="252" w:lineRule="exact"/>
        <w:ind w:left="0" w:firstLine="720"/>
        <w:jc w:val="both"/>
        <w:rPr>
          <w:color w:val="0000FF"/>
        </w:rPr>
      </w:pPr>
    </w:p>
    <w:p w:rsidR="00D2692F" w:rsidRDefault="00D2692F">
      <w:pPr>
        <w:pStyle w:val="a4"/>
        <w:spacing w:line="252" w:lineRule="exact"/>
        <w:ind w:left="0" w:firstLine="720"/>
        <w:jc w:val="both"/>
        <w:rPr>
          <w:color w:val="0000FF"/>
        </w:rPr>
      </w:pPr>
    </w:p>
    <w:p w:rsidR="00D2692F" w:rsidRDefault="00D2692F">
      <w:pPr>
        <w:pStyle w:val="a4"/>
        <w:spacing w:line="252" w:lineRule="exact"/>
        <w:ind w:left="0" w:firstLine="720"/>
        <w:jc w:val="both"/>
        <w:rPr>
          <w:color w:val="0000FF"/>
        </w:rPr>
      </w:pPr>
    </w:p>
    <w:p w:rsidR="00D2692F" w:rsidRDefault="00D2692F">
      <w:pPr>
        <w:pStyle w:val="a4"/>
        <w:spacing w:line="252" w:lineRule="exact"/>
        <w:ind w:left="0" w:firstLine="720"/>
        <w:jc w:val="both"/>
        <w:rPr>
          <w:color w:val="0000FF"/>
        </w:rPr>
      </w:pPr>
    </w:p>
    <w:p w:rsidR="00D2692F" w:rsidRDefault="00D2692F">
      <w:pPr>
        <w:pStyle w:val="a4"/>
        <w:spacing w:line="252" w:lineRule="exact"/>
        <w:ind w:left="0" w:firstLine="720"/>
        <w:jc w:val="both"/>
        <w:rPr>
          <w:color w:val="0000FF"/>
        </w:rPr>
      </w:pPr>
    </w:p>
    <w:p w:rsidR="00D2692F" w:rsidRDefault="00D2692F">
      <w:pPr>
        <w:pStyle w:val="a4"/>
        <w:spacing w:line="252" w:lineRule="exact"/>
        <w:ind w:left="0" w:firstLine="720"/>
        <w:jc w:val="both"/>
        <w:rPr>
          <w:color w:val="0000FF"/>
        </w:rPr>
      </w:pPr>
    </w:p>
    <w:p w:rsidR="00D2692F" w:rsidRDefault="00D2692F">
      <w:pPr>
        <w:pStyle w:val="a4"/>
        <w:spacing w:line="252" w:lineRule="exact"/>
        <w:ind w:left="0" w:firstLine="720"/>
        <w:jc w:val="both"/>
        <w:rPr>
          <w:color w:val="0000FF"/>
        </w:rPr>
      </w:pPr>
    </w:p>
    <w:p w:rsidR="00D2692F" w:rsidRDefault="00D2692F">
      <w:pPr>
        <w:pStyle w:val="a4"/>
        <w:spacing w:line="252" w:lineRule="exact"/>
        <w:ind w:left="0" w:firstLine="720"/>
        <w:jc w:val="center"/>
        <w:rPr>
          <w:b/>
          <w:bCs/>
          <w:color w:val="000000" w:themeColor="text1"/>
        </w:rPr>
      </w:pPr>
    </w:p>
    <w:p w:rsidR="00EB244F" w:rsidRDefault="00AF3B3B" w:rsidP="00EB244F">
      <w:pPr>
        <w:pStyle w:val="a4"/>
        <w:spacing w:line="252" w:lineRule="exact"/>
        <w:ind w:left="0" w:firstLine="720"/>
        <w:jc w:val="righ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Приложение 1. </w:t>
      </w:r>
    </w:p>
    <w:p w:rsidR="00EB244F" w:rsidRDefault="00EB244F">
      <w:pPr>
        <w:pStyle w:val="a4"/>
        <w:spacing w:line="252" w:lineRule="exact"/>
        <w:ind w:left="0" w:firstLine="720"/>
        <w:jc w:val="center"/>
        <w:rPr>
          <w:b/>
          <w:bCs/>
          <w:color w:val="000000" w:themeColor="text1"/>
        </w:rPr>
      </w:pPr>
    </w:p>
    <w:p w:rsidR="00D2692F" w:rsidRPr="00EB244F" w:rsidRDefault="00AF3B3B">
      <w:pPr>
        <w:pStyle w:val="a4"/>
        <w:spacing w:line="252" w:lineRule="exact"/>
        <w:ind w:left="0" w:firstLine="720"/>
        <w:jc w:val="center"/>
        <w:rPr>
          <w:b/>
          <w:color w:val="000000" w:themeColor="text1"/>
        </w:rPr>
      </w:pPr>
      <w:r w:rsidRPr="00EB244F">
        <w:rPr>
          <w:b/>
          <w:color w:val="000000" w:themeColor="text1"/>
        </w:rPr>
        <w:t xml:space="preserve">ХРОНИЧЕСКАЯ </w:t>
      </w:r>
      <w:r w:rsidRPr="00EB244F">
        <w:rPr>
          <w:b/>
          <w:color w:val="000000" w:themeColor="text1"/>
        </w:rPr>
        <w:t>БОЛЕЗНЬ ПОЧЕК: ОПРЕДЕЛЕНИЕ И ЭПИДЕМИОЛОГИЯ</w:t>
      </w:r>
    </w:p>
    <w:p w:rsidR="00D2692F" w:rsidRDefault="00AF3B3B">
      <w:pPr>
        <w:pStyle w:val="a4"/>
        <w:spacing w:line="252" w:lineRule="exact"/>
        <w:ind w:left="0" w:firstLine="720"/>
        <w:jc w:val="center"/>
        <w:rPr>
          <w:b/>
          <w:color w:val="000000" w:themeColor="text1"/>
        </w:rPr>
      </w:pPr>
      <w:r w:rsidRPr="00EB244F">
        <w:rPr>
          <w:b/>
          <w:color w:val="000000" w:themeColor="text1"/>
        </w:rPr>
        <w:t>ВВЕДЕНИЕ</w:t>
      </w:r>
    </w:p>
    <w:p w:rsidR="00D3249C" w:rsidRPr="00EB244F" w:rsidRDefault="00D3249C">
      <w:pPr>
        <w:pStyle w:val="a4"/>
        <w:spacing w:line="252" w:lineRule="exact"/>
        <w:ind w:left="0" w:firstLine="720"/>
        <w:jc w:val="center"/>
        <w:rPr>
          <w:b/>
          <w:color w:val="000000" w:themeColor="text1"/>
        </w:rPr>
      </w:pPr>
    </w:p>
    <w:p w:rsidR="00D2692F" w:rsidRDefault="00AF3B3B" w:rsidP="00EB244F">
      <w:pPr>
        <w:pStyle w:val="a4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Хроническая болезнь почек (ХБП) представляет собой серьезную проблему системы здравоохранения. Согласно результатам международных исследований, спланированных с целью оценки распространенности ХБП, более </w:t>
      </w:r>
      <w:r>
        <w:rPr>
          <w:color w:val="000000" w:themeColor="text1"/>
        </w:rPr>
        <w:t>9% взрослого населения страдают ХБП той или иной степени тяжести (1). У 6% населения скорость клубочковой фильтрации (СКФ) составляет менее 60 мг/мин/1,73 м</w:t>
      </w:r>
      <w:proofErr w:type="gramStart"/>
      <w:r>
        <w:rPr>
          <w:color w:val="000000" w:themeColor="text1"/>
        </w:rPr>
        <w:t>2</w:t>
      </w:r>
      <w:proofErr w:type="gramEnd"/>
      <w:r>
        <w:rPr>
          <w:color w:val="000000" w:themeColor="text1"/>
        </w:rPr>
        <w:t>, из них 20% - люди в возрасте старше 64 лет.</w:t>
      </w:r>
    </w:p>
    <w:p w:rsidR="00D2692F" w:rsidRDefault="00AF3B3B" w:rsidP="00EB244F">
      <w:pPr>
        <w:pStyle w:val="a4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Помимо того, что ХБП имеет широкое распространение, о</w:t>
      </w:r>
      <w:r>
        <w:rPr>
          <w:color w:val="000000" w:themeColor="text1"/>
        </w:rPr>
        <w:t xml:space="preserve">на также сопряжена с высоким уровнем </w:t>
      </w:r>
      <w:proofErr w:type="gramStart"/>
      <w:r>
        <w:rPr>
          <w:color w:val="000000" w:themeColor="text1"/>
        </w:rPr>
        <w:t>сердечно-сосудистой</w:t>
      </w:r>
      <w:proofErr w:type="gramEnd"/>
      <w:r>
        <w:rPr>
          <w:color w:val="000000" w:themeColor="text1"/>
        </w:rPr>
        <w:t xml:space="preserve"> заболеваемости и смертности, а также со значительными затратами. В Москве ежегодные затраты на лечение поздних стадий ХБП составляют, более 5 миллиардов рублей.</w:t>
      </w:r>
    </w:p>
    <w:p w:rsidR="00D2692F" w:rsidRDefault="00AF3B3B" w:rsidP="00EB244F">
      <w:pPr>
        <w:pStyle w:val="a4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Рассмотрение в рамках одного документа</w:t>
      </w:r>
      <w:r>
        <w:rPr>
          <w:color w:val="000000" w:themeColor="text1"/>
        </w:rPr>
        <w:t xml:space="preserve"> стратегий выявления ХБП и ситуаций, в которых велика вероятность прогрессирования болезни почек до терминальной стадии, или ситуаций, сопряженных с повышенной заболеваемость и смертностью, </w:t>
      </w:r>
      <w:proofErr w:type="gramStart"/>
      <w:r>
        <w:rPr>
          <w:color w:val="000000" w:themeColor="text1"/>
        </w:rPr>
        <w:t>несомненно</w:t>
      </w:r>
      <w:proofErr w:type="gramEnd"/>
      <w:r>
        <w:rPr>
          <w:color w:val="000000" w:themeColor="text1"/>
        </w:rPr>
        <w:t xml:space="preserve"> поможет еще на ранних стадиях заболевания выявить пацие</w:t>
      </w:r>
      <w:r>
        <w:rPr>
          <w:color w:val="000000" w:themeColor="text1"/>
        </w:rPr>
        <w:t>нтов с высоким риском прогрессирования болезни почек или развития сердечно-сосудистых осложнений. Также данный документ охватывает такие аспекты, как определение стратегии профилактики и лечения ХБП и ее осложнений врачом-терапевтом и критерии, на основани</w:t>
      </w:r>
      <w:r>
        <w:rPr>
          <w:color w:val="000000" w:themeColor="text1"/>
        </w:rPr>
        <w:t>и которых пациента следует направить к специалисту-нефрологу. Таким образом, цель настоящего документа состоит в том, чтобы помочь предотвратить ХБП, выявить заболевание, направить пациента к специалисту и осуществлять лечение ХБП для улучшения здоровья по</w:t>
      </w:r>
      <w:r>
        <w:rPr>
          <w:color w:val="000000" w:themeColor="text1"/>
        </w:rPr>
        <w:t>чек и прогнозов у наших пациентов.</w:t>
      </w:r>
    </w:p>
    <w:p w:rsidR="00D2692F" w:rsidRDefault="00AF3B3B" w:rsidP="00EB244F">
      <w:pPr>
        <w:pStyle w:val="a4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1.2.ОПРЕДЕЛЕНИЕ И ЭПИДЕМИОЛОГИЯ</w:t>
      </w:r>
    </w:p>
    <w:p w:rsidR="00D2692F" w:rsidRDefault="00AF3B3B" w:rsidP="00EB244F">
      <w:pPr>
        <w:pStyle w:val="a4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Во всех рассмотренных руководствах (4, 5), включая актуальное на данный момент руководство 2012 г. KDIGO (</w:t>
      </w:r>
      <w:proofErr w:type="spellStart"/>
      <w:r>
        <w:rPr>
          <w:color w:val="000000" w:themeColor="text1"/>
        </w:rPr>
        <w:t>Kidney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Disease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Improving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Global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Outcomes</w:t>
      </w:r>
      <w:proofErr w:type="spellEnd"/>
      <w:r>
        <w:rPr>
          <w:color w:val="000000" w:themeColor="text1"/>
        </w:rPr>
        <w:t xml:space="preserve"> (Болезни почек: улучшение глобальных резул</w:t>
      </w:r>
      <w:r>
        <w:rPr>
          <w:color w:val="000000" w:themeColor="text1"/>
        </w:rPr>
        <w:t>ьтатов лечения)), опубликованное в январе 2013 г. (6), ХБП, независимо от клинического диагноза, определяется как наличие следующих факторов в течение как минимум ТРЕХ МЕСЯЦЕВ:</w:t>
      </w:r>
    </w:p>
    <w:p w:rsidR="00D2692F" w:rsidRDefault="00AF3B3B" w:rsidP="00EB244F">
      <w:pPr>
        <w:pStyle w:val="a4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-снижение </w:t>
      </w:r>
      <w:proofErr w:type="spellStart"/>
      <w:r>
        <w:rPr>
          <w:color w:val="000000" w:themeColor="text1"/>
        </w:rPr>
        <w:t>рСКФ</w:t>
      </w:r>
      <w:proofErr w:type="spellEnd"/>
      <w:r>
        <w:rPr>
          <w:color w:val="000000" w:themeColor="text1"/>
        </w:rPr>
        <w:t xml:space="preserve"> (расчетной скорости клубочковой фильтрации) ниже 60 мл/мин/1,73 </w:t>
      </w:r>
      <w:r>
        <w:rPr>
          <w:color w:val="000000" w:themeColor="text1"/>
        </w:rPr>
        <w:t>м</w:t>
      </w:r>
      <w:proofErr w:type="gramStart"/>
      <w:r>
        <w:rPr>
          <w:color w:val="000000" w:themeColor="text1"/>
        </w:rPr>
        <w:t>2</w:t>
      </w:r>
      <w:proofErr w:type="gramEnd"/>
    </w:p>
    <w:p w:rsidR="00D2692F" w:rsidRDefault="00AF3B3B" w:rsidP="00EB244F">
      <w:pPr>
        <w:pStyle w:val="a4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-или повреждение почек.</w:t>
      </w:r>
    </w:p>
    <w:p w:rsidR="00D2692F" w:rsidRDefault="00AF3B3B" w:rsidP="00EB244F">
      <w:pPr>
        <w:pStyle w:val="a4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Повреждение почек может быть установлено непосредственно на основании гистологических отклонений, выявленных при биопсии почек, либо косвенно по наличию альбуминурии или по результатам анализа мочевого осадка, а также с помощью м</w:t>
      </w:r>
      <w:r>
        <w:rPr>
          <w:color w:val="000000" w:themeColor="text1"/>
        </w:rPr>
        <w:t>етодов визуализации.</w:t>
      </w:r>
    </w:p>
    <w:p w:rsidR="00D2692F" w:rsidRDefault="00AF3B3B" w:rsidP="00EB244F">
      <w:pPr>
        <w:pStyle w:val="a4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Установлено, что 9% взрослого населения страдают ХБП той или иной степени тяжести, у 6,83% всего населения ХБП 3-5 стадии. Увеличение распространенности ХБП обусловлено старением населения, повышенной распространенностью таких факторов</w:t>
      </w:r>
      <w:r>
        <w:rPr>
          <w:color w:val="000000" w:themeColor="text1"/>
        </w:rPr>
        <w:t xml:space="preserve"> риска, как сердечн</w:t>
      </w:r>
      <w:proofErr w:type="gramStart"/>
      <w:r>
        <w:rPr>
          <w:color w:val="000000" w:themeColor="text1"/>
        </w:rPr>
        <w:t>о-</w:t>
      </w:r>
      <w:proofErr w:type="gramEnd"/>
      <w:r>
        <w:rPr>
          <w:color w:val="000000" w:themeColor="text1"/>
        </w:rPr>
        <w:t xml:space="preserve"> сосудистые заболевания, сахарный диабет (СД), высокое артериальное давление (ВАД), ожирение и, конечно, ранним диагностированием заболевания.</w:t>
      </w:r>
    </w:p>
    <w:p w:rsidR="00D2692F" w:rsidRDefault="00AF3B3B" w:rsidP="00EB244F">
      <w:pPr>
        <w:pStyle w:val="a4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Значения, рассчитанные по формулам CKD-EPI   стандартизованы для площади поверхности тела (П</w:t>
      </w:r>
      <w:r>
        <w:rPr>
          <w:color w:val="000000" w:themeColor="text1"/>
        </w:rPr>
        <w:t>ПТ) 1,73 м</w:t>
      </w:r>
      <w:proofErr w:type="gramStart"/>
      <w:r>
        <w:rPr>
          <w:color w:val="000000" w:themeColor="text1"/>
        </w:rPr>
        <w:t>2</w:t>
      </w:r>
      <w:proofErr w:type="gramEnd"/>
      <w:r>
        <w:rPr>
          <w:color w:val="000000" w:themeColor="text1"/>
        </w:rPr>
        <w:t>. Однако, в тех случаях, когда формулу используют для расчета СКФ или для корректировки дозы особо токсичных препаратов или препаратов с низким терапевтическим индексом у пациентов с сильно отличающимся показателем ППТ, значения СКФ не следует с</w:t>
      </w:r>
      <w:r>
        <w:rPr>
          <w:color w:val="000000" w:themeColor="text1"/>
        </w:rPr>
        <w:t>тандартизировать для ППТ 1,73 м</w:t>
      </w:r>
      <w:proofErr w:type="gramStart"/>
      <w:r>
        <w:rPr>
          <w:color w:val="000000" w:themeColor="text1"/>
        </w:rPr>
        <w:t>2</w:t>
      </w:r>
      <w:proofErr w:type="gramEnd"/>
      <w:r>
        <w:rPr>
          <w:color w:val="000000" w:themeColor="text1"/>
        </w:rPr>
        <w:t xml:space="preserve">. </w:t>
      </w:r>
    </w:p>
    <w:p w:rsidR="00D2692F" w:rsidRDefault="00AF3B3B" w:rsidP="00EB244F">
      <w:pPr>
        <w:pStyle w:val="a4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ОЦЕНКА ПОВРЕЖДЕНИЯ ПОЧЕК</w:t>
      </w:r>
    </w:p>
    <w:p w:rsidR="00D2692F" w:rsidRDefault="00AF3B3B" w:rsidP="00EB244F">
      <w:pPr>
        <w:pStyle w:val="a4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Альбуминурия (выделение альбумина с мочой)</w:t>
      </w:r>
    </w:p>
    <w:p w:rsidR="00D2692F" w:rsidRDefault="00AF3B3B" w:rsidP="00EB244F">
      <w:pPr>
        <w:pStyle w:val="a4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Наряду с СКФ альбуминурия является основанием для диагностирования ХБП и  определения ее стадии. Постоянное наличие в моче высоких концентраций белка </w:t>
      </w:r>
      <w:r>
        <w:rPr>
          <w:color w:val="000000" w:themeColor="text1"/>
        </w:rPr>
        <w:t>или альбумина – это не только признак повреждения почек, часто это признак «системного поражения» организма. В различных исследованиях была продемонстрирована важность протеинурии в патогенезе прогрессирующей ХБП, а также была установлена связь между альбу</w:t>
      </w:r>
      <w:r>
        <w:rPr>
          <w:color w:val="000000" w:themeColor="text1"/>
        </w:rPr>
        <w:t xml:space="preserve">минурией и прогнозом заболевания почек, и между альбуминурией и смертностью в различных популяциях пациентов независимо от показателя СКФ и от других классических факторов риска развития </w:t>
      </w:r>
      <w:proofErr w:type="gramStart"/>
      <w:r>
        <w:rPr>
          <w:color w:val="000000" w:themeColor="text1"/>
        </w:rPr>
        <w:t>сердечно-сосудистых</w:t>
      </w:r>
      <w:proofErr w:type="gramEnd"/>
      <w:r>
        <w:rPr>
          <w:color w:val="000000" w:themeColor="text1"/>
        </w:rPr>
        <w:t xml:space="preserve"> заболеваний.</w:t>
      </w:r>
    </w:p>
    <w:p w:rsidR="00D2692F" w:rsidRDefault="00AF3B3B" w:rsidP="00EB244F">
      <w:pPr>
        <w:pStyle w:val="a4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Мы рекомендуем не использовать такие</w:t>
      </w:r>
      <w:r>
        <w:rPr>
          <w:color w:val="000000" w:themeColor="text1"/>
        </w:rPr>
        <w:t xml:space="preserve"> термины, как микр</w:t>
      </w:r>
      <w:proofErr w:type="gramStart"/>
      <w:r>
        <w:rPr>
          <w:color w:val="000000" w:themeColor="text1"/>
        </w:rPr>
        <w:t>о-</w:t>
      </w:r>
      <w:proofErr w:type="gramEnd"/>
      <w:r>
        <w:rPr>
          <w:color w:val="000000" w:themeColor="text1"/>
        </w:rPr>
        <w:t xml:space="preserve"> или </w:t>
      </w:r>
      <w:proofErr w:type="spellStart"/>
      <w:r>
        <w:rPr>
          <w:color w:val="000000" w:themeColor="text1"/>
        </w:rPr>
        <w:t>макроальбуминурия</w:t>
      </w:r>
      <w:proofErr w:type="spellEnd"/>
      <w:r>
        <w:rPr>
          <w:color w:val="000000" w:themeColor="text1"/>
        </w:rPr>
        <w:t>, а пользоваться термином альбуминурия или выделение альбумина с мочой и абсолютным значением отношения содержания альбумина/</w:t>
      </w:r>
      <w:proofErr w:type="spellStart"/>
      <w:r>
        <w:rPr>
          <w:color w:val="000000" w:themeColor="text1"/>
        </w:rPr>
        <w:t>креатинина</w:t>
      </w:r>
      <w:proofErr w:type="spellEnd"/>
      <w:r>
        <w:rPr>
          <w:color w:val="000000" w:themeColor="text1"/>
        </w:rPr>
        <w:t xml:space="preserve"> (А/К) в моче (предпочтительно в образцах первой утренней мочи). Отношение</w:t>
      </w:r>
      <w:proofErr w:type="gramStart"/>
      <w:r>
        <w:rPr>
          <w:color w:val="000000" w:themeColor="text1"/>
        </w:rPr>
        <w:t xml:space="preserve"> А</w:t>
      </w:r>
      <w:proofErr w:type="gramEnd"/>
      <w:r>
        <w:rPr>
          <w:color w:val="000000" w:themeColor="text1"/>
        </w:rPr>
        <w:t xml:space="preserve">/К </w:t>
      </w:r>
      <w:r>
        <w:rPr>
          <w:color w:val="000000" w:themeColor="text1"/>
        </w:rPr>
        <w:t xml:space="preserve">– это более чувствительный маркер, чем протеинурия в контексте вторичной ХБП, обусловленной СД, ВАД или </w:t>
      </w:r>
      <w:proofErr w:type="spellStart"/>
      <w:r>
        <w:rPr>
          <w:color w:val="000000" w:themeColor="text1"/>
        </w:rPr>
        <w:t>гломерулярной</w:t>
      </w:r>
      <w:proofErr w:type="spellEnd"/>
      <w:r>
        <w:rPr>
          <w:color w:val="000000" w:themeColor="text1"/>
        </w:rPr>
        <w:t xml:space="preserve"> болезнью – заболеваниями, которые чаще всего вызывают развитие ХБП у взрослых. Для осуществления мониторинга состояния пациентов с диагнос</w:t>
      </w:r>
      <w:r>
        <w:rPr>
          <w:color w:val="000000" w:themeColor="text1"/>
        </w:rPr>
        <w:t>тированной ХБП и со значительной протеинурией (например, отношение</w:t>
      </w:r>
      <w:proofErr w:type="gramStart"/>
      <w:r>
        <w:rPr>
          <w:color w:val="000000" w:themeColor="text1"/>
        </w:rPr>
        <w:t xml:space="preserve"> А</w:t>
      </w:r>
      <w:proofErr w:type="gramEnd"/>
      <w:r>
        <w:rPr>
          <w:color w:val="000000" w:themeColor="text1"/>
        </w:rPr>
        <w:t>/К &gt;300-</w:t>
      </w:r>
      <w:r>
        <w:rPr>
          <w:color w:val="000000" w:themeColor="text1"/>
        </w:rPr>
        <w:lastRenderedPageBreak/>
        <w:t>500 мг/г) можно использовать отношение содержания белка/</w:t>
      </w:r>
      <w:proofErr w:type="spellStart"/>
      <w:r>
        <w:rPr>
          <w:color w:val="000000" w:themeColor="text1"/>
        </w:rPr>
        <w:t>креатинина</w:t>
      </w:r>
      <w:proofErr w:type="spellEnd"/>
      <w:r>
        <w:rPr>
          <w:color w:val="000000" w:themeColor="text1"/>
        </w:rPr>
        <w:t xml:space="preserve"> в моче, поскольку этот анализ более экономичен, и поскольку при повышенной протеинурии (в частности, при нефротич</w:t>
      </w:r>
      <w:r>
        <w:rPr>
          <w:color w:val="000000" w:themeColor="text1"/>
        </w:rPr>
        <w:t>еской протеинурии) показатель отношения А/К является менее чувствительным. Также рекомендуется использовать отношение содержания белка/</w:t>
      </w:r>
      <w:proofErr w:type="spellStart"/>
      <w:r>
        <w:rPr>
          <w:color w:val="000000" w:themeColor="text1"/>
        </w:rPr>
        <w:t>креатинина</w:t>
      </w:r>
      <w:proofErr w:type="spellEnd"/>
      <w:r>
        <w:rPr>
          <w:color w:val="000000" w:themeColor="text1"/>
        </w:rPr>
        <w:t xml:space="preserve"> в моче у пациентов с подозрением на интерстициальное заболевание и </w:t>
      </w:r>
      <w:proofErr w:type="spellStart"/>
      <w:r>
        <w:rPr>
          <w:color w:val="000000" w:themeColor="text1"/>
        </w:rPr>
        <w:t>нефротоксичностью</w:t>
      </w:r>
      <w:proofErr w:type="spellEnd"/>
      <w:r>
        <w:rPr>
          <w:color w:val="000000" w:themeColor="text1"/>
        </w:rPr>
        <w:t>, вызванной антиретровирус</w:t>
      </w:r>
      <w:r>
        <w:rPr>
          <w:color w:val="000000" w:themeColor="text1"/>
        </w:rPr>
        <w:t>ными препаратами, поскольку в обеих ситуациях при протеинурии с мочой выделяются в основном белки с низкой молекулярной массой, которые отличаются от альбумина. Для подтверждения альбуминурии у пациента необходимо, чтобы высокое содержание альбумина было у</w:t>
      </w:r>
      <w:r>
        <w:rPr>
          <w:color w:val="000000" w:themeColor="text1"/>
        </w:rPr>
        <w:t xml:space="preserve">становлено в двух образцах из трех, взятых в период продолжительностью от 3 до 6 месяцев. </w:t>
      </w:r>
    </w:p>
    <w:p w:rsidR="00D2692F" w:rsidRDefault="00AF3B3B" w:rsidP="00EB244F">
      <w:pPr>
        <w:pStyle w:val="a4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Степень выраженности и устойчивость альбуминурии тесно связаны с прогнозом заболевания и выживания у пациентов с ХБП, но альбуминурию также следует рассматривать как</w:t>
      </w:r>
      <w:r>
        <w:rPr>
          <w:color w:val="000000" w:themeColor="text1"/>
        </w:rPr>
        <w:t xml:space="preserve"> основной независимый маркер общего </w:t>
      </w:r>
      <w:proofErr w:type="gramStart"/>
      <w:r>
        <w:rPr>
          <w:color w:val="000000" w:themeColor="text1"/>
        </w:rPr>
        <w:t>сердечно-сосудистого</w:t>
      </w:r>
      <w:proofErr w:type="gramEnd"/>
      <w:r>
        <w:rPr>
          <w:color w:val="000000" w:themeColor="text1"/>
        </w:rPr>
        <w:t xml:space="preserve"> риска (эндотелиальной дисфункции, </w:t>
      </w:r>
      <w:proofErr w:type="spellStart"/>
      <w:r>
        <w:rPr>
          <w:color w:val="000000" w:themeColor="text1"/>
        </w:rPr>
        <w:t>ремоделирования</w:t>
      </w:r>
      <w:proofErr w:type="spellEnd"/>
      <w:r>
        <w:rPr>
          <w:color w:val="000000" w:themeColor="text1"/>
        </w:rPr>
        <w:t xml:space="preserve"> артерий), а не только как признак хронической болезни почек.</w:t>
      </w:r>
    </w:p>
    <w:p w:rsidR="00D2692F" w:rsidRDefault="00AF3B3B" w:rsidP="00EB244F">
      <w:pPr>
        <w:pStyle w:val="a4"/>
        <w:ind w:left="0" w:firstLine="709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Отклонения от нормы результатов анализа мочевого осадка</w:t>
      </w:r>
    </w:p>
    <w:p w:rsidR="00D2692F" w:rsidRDefault="00AF3B3B" w:rsidP="00EB244F">
      <w:pPr>
        <w:pStyle w:val="a4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Присутствие крови и/или лейкоци</w:t>
      </w:r>
      <w:r>
        <w:rPr>
          <w:color w:val="000000" w:themeColor="text1"/>
        </w:rPr>
        <w:t>тов в мочевом осадке дольше трех месяцев также может указывать на наличие ХБП в том случае, если исключена урологическая причина или инфекция мочевыводящих путей (в том числе туберкулез почек).</w:t>
      </w:r>
    </w:p>
    <w:p w:rsidR="00D2692F" w:rsidRDefault="00AF3B3B" w:rsidP="00EB244F">
      <w:pPr>
        <w:pStyle w:val="a4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Результаты рентгенографии, указывающие на наличие патологии. </w:t>
      </w:r>
      <w:r>
        <w:rPr>
          <w:color w:val="000000" w:themeColor="text1"/>
        </w:rPr>
        <w:t>Ультразвуковое исследование почек, прежде всего, позволяет исключить наличие патологии, связанной с непроходимостью мочевыводящих путей, но оно также позволяет выявить структурные аномалии, которые свидетельствуют о поражении почек. Наличие простых изолиро</w:t>
      </w:r>
      <w:r>
        <w:rPr>
          <w:color w:val="000000" w:themeColor="text1"/>
        </w:rPr>
        <w:t>ванных почечных кист само по себе НЕ является критерием поражения почек.</w:t>
      </w:r>
    </w:p>
    <w:p w:rsidR="00D2692F" w:rsidRDefault="00AF3B3B" w:rsidP="00EB244F">
      <w:pPr>
        <w:pStyle w:val="a4"/>
        <w:ind w:left="0" w:firstLine="709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Гистологические отклонения.</w:t>
      </w:r>
    </w:p>
    <w:p w:rsidR="00D2692F" w:rsidRDefault="00AF3B3B" w:rsidP="00EB244F">
      <w:pPr>
        <w:pStyle w:val="a4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Назначение биопсии – это часть специальной области в нефрологии. </w:t>
      </w:r>
    </w:p>
    <w:p w:rsidR="00D2692F" w:rsidRDefault="00AF3B3B" w:rsidP="00EB244F">
      <w:pPr>
        <w:pStyle w:val="a4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Решение о направлении пациента к нефрологу следует принимать с учетом стадии  заболевания</w:t>
      </w:r>
      <w:r>
        <w:rPr>
          <w:color w:val="000000" w:themeColor="text1"/>
        </w:rPr>
        <w:t xml:space="preserve"> согласно СКФ, скорости прогрессирования почечной недостаточности, степени альбуминурии, тревожных признаков, сопутствующих заболеваний и функционального состояния пациента. </w:t>
      </w:r>
    </w:p>
    <w:p w:rsidR="00D2692F" w:rsidRDefault="00AF3B3B" w:rsidP="00EB244F">
      <w:pPr>
        <w:pStyle w:val="a4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целом к нефрологу следует направлять пациентов, у которых </w:t>
      </w:r>
      <w:proofErr w:type="spellStart"/>
      <w:r>
        <w:rPr>
          <w:color w:val="000000" w:themeColor="text1"/>
        </w:rPr>
        <w:t>рСКФ</w:t>
      </w:r>
      <w:proofErr w:type="spellEnd"/>
      <w:r>
        <w:rPr>
          <w:color w:val="000000" w:themeColor="text1"/>
        </w:rPr>
        <w:t xml:space="preserve"> составляет &lt;30 м</w:t>
      </w:r>
      <w:r>
        <w:rPr>
          <w:color w:val="000000" w:themeColor="text1"/>
        </w:rPr>
        <w:t>л/мин/1,73 м</w:t>
      </w:r>
      <w:proofErr w:type="gramStart"/>
      <w:r>
        <w:rPr>
          <w:color w:val="000000" w:themeColor="text1"/>
        </w:rPr>
        <w:t>2</w:t>
      </w:r>
      <w:proofErr w:type="gramEnd"/>
      <w:r>
        <w:rPr>
          <w:color w:val="000000" w:themeColor="text1"/>
        </w:rPr>
        <w:t xml:space="preserve"> (за исключением пациентов старше 80 лет, у которых не наблюдается прогрессирования заболевания почек, а </w:t>
      </w:r>
      <w:r>
        <w:rPr>
          <w:color w:val="000000" w:themeColor="text1"/>
        </w:rPr>
        <w:lastRenderedPageBreak/>
        <w:t xml:space="preserve">показатель альбуминурии &lt;300 мг/г). </w:t>
      </w:r>
    </w:p>
    <w:p w:rsidR="00D2692F" w:rsidRDefault="00AF3B3B" w:rsidP="00EB244F">
      <w:pPr>
        <w:pStyle w:val="a4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 учетом скорости клубочковой фильтрации: </w:t>
      </w:r>
      <w:r>
        <w:rPr>
          <w:color w:val="000000" w:themeColor="text1"/>
        </w:rPr>
        <w:t xml:space="preserve"> всех пациентов, у которых </w:t>
      </w:r>
      <w:proofErr w:type="spellStart"/>
      <w:r>
        <w:rPr>
          <w:color w:val="000000" w:themeColor="text1"/>
        </w:rPr>
        <w:t>рСКФ</w:t>
      </w:r>
      <w:proofErr w:type="spellEnd"/>
      <w:r>
        <w:rPr>
          <w:color w:val="000000" w:themeColor="text1"/>
        </w:rPr>
        <w:t xml:space="preserve"> составляет &lt;30 мл/мин/1,73</w:t>
      </w:r>
      <w:r>
        <w:rPr>
          <w:color w:val="000000" w:themeColor="text1"/>
        </w:rPr>
        <w:t xml:space="preserve"> м</w:t>
      </w:r>
      <w:proofErr w:type="gramStart"/>
      <w:r>
        <w:rPr>
          <w:color w:val="000000" w:themeColor="text1"/>
        </w:rPr>
        <w:t>2</w:t>
      </w:r>
      <w:proofErr w:type="gramEnd"/>
      <w:r>
        <w:rPr>
          <w:color w:val="000000" w:themeColor="text1"/>
        </w:rPr>
        <w:t xml:space="preserve">, за исключением лиц старше 80 лет, у которых не наблюдается прогрессирования заболевания почек;  </w:t>
      </w:r>
      <w:r>
        <w:rPr>
          <w:color w:val="000000" w:themeColor="text1"/>
        </w:rPr>
        <w:t xml:space="preserve"> пациентов старше 80 лет, у которых </w:t>
      </w:r>
      <w:proofErr w:type="spellStart"/>
      <w:r>
        <w:rPr>
          <w:color w:val="000000" w:themeColor="text1"/>
        </w:rPr>
        <w:t>рСКФ</w:t>
      </w:r>
      <w:proofErr w:type="spellEnd"/>
      <w:r>
        <w:rPr>
          <w:color w:val="000000" w:themeColor="text1"/>
        </w:rPr>
        <w:t xml:space="preserve"> составляет &lt;20 мл/мин/1,73 м2, если того требует общее состояние пациента, следует направить для прохождения обсл</w:t>
      </w:r>
      <w:r>
        <w:rPr>
          <w:color w:val="000000" w:themeColor="text1"/>
        </w:rPr>
        <w:t xml:space="preserve">едования у нефролога. Пациент должен дать согласие на лечение. Рекомендуется, чтобы пациент был направлен к нефрологу как минимум за год до начала заместительной почечной терапии. </w:t>
      </w:r>
    </w:p>
    <w:p w:rsidR="00D2692F" w:rsidRDefault="00AF3B3B" w:rsidP="00EB244F">
      <w:pPr>
        <w:pStyle w:val="a4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Мониторинг состояния пациентов младше 70 лет, у которых </w:t>
      </w:r>
      <w:proofErr w:type="spellStart"/>
      <w:r>
        <w:rPr>
          <w:color w:val="000000" w:themeColor="text1"/>
        </w:rPr>
        <w:t>рСКФ</w:t>
      </w:r>
      <w:proofErr w:type="spellEnd"/>
      <w:r>
        <w:rPr>
          <w:color w:val="000000" w:themeColor="text1"/>
        </w:rPr>
        <w:t xml:space="preserve"> составляет от</w:t>
      </w:r>
      <w:r>
        <w:rPr>
          <w:color w:val="000000" w:themeColor="text1"/>
        </w:rPr>
        <w:t xml:space="preserve"> 30 до 45 мл/мин/1,73 м</w:t>
      </w:r>
      <w:proofErr w:type="gramStart"/>
      <w:r>
        <w:rPr>
          <w:color w:val="000000" w:themeColor="text1"/>
        </w:rPr>
        <w:t>2</w:t>
      </w:r>
      <w:proofErr w:type="gramEnd"/>
      <w:r>
        <w:rPr>
          <w:color w:val="000000" w:themeColor="text1"/>
        </w:rPr>
        <w:t>, следует осуществлять более часто (каждые 3-6 месяцев). Таких пациентов следует направлять к нефрологу только в случае усиления альбуминурии, установленного по результатам двух проведенных подряд анализов, либо, если отношение</w:t>
      </w:r>
      <w:proofErr w:type="gramStart"/>
      <w:r>
        <w:rPr>
          <w:color w:val="000000" w:themeColor="text1"/>
        </w:rPr>
        <w:t xml:space="preserve"> А</w:t>
      </w:r>
      <w:proofErr w:type="gramEnd"/>
      <w:r>
        <w:rPr>
          <w:color w:val="000000" w:themeColor="text1"/>
        </w:rPr>
        <w:t xml:space="preserve">/К </w:t>
      </w:r>
      <w:r>
        <w:rPr>
          <w:color w:val="000000" w:themeColor="text1"/>
        </w:rPr>
        <w:t>составляет около 300 мг/г.</w:t>
      </w:r>
    </w:p>
    <w:p w:rsidR="00D2692F" w:rsidRDefault="00AF3B3B" w:rsidP="00EB244F">
      <w:pPr>
        <w:pStyle w:val="a4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Другие причины:</w:t>
      </w:r>
    </w:p>
    <w:p w:rsidR="00D2692F" w:rsidRDefault="00AF3B3B" w:rsidP="00EB244F">
      <w:pPr>
        <w:pStyle w:val="a4"/>
        <w:numPr>
          <w:ilvl w:val="0"/>
          <w:numId w:val="8"/>
        </w:numPr>
        <w:tabs>
          <w:tab w:val="left" w:pos="420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острое ухудшение функции почек (снижение </w:t>
      </w:r>
      <w:proofErr w:type="spellStart"/>
      <w:r>
        <w:rPr>
          <w:color w:val="000000" w:themeColor="text1"/>
        </w:rPr>
        <w:t>рСКФ</w:t>
      </w:r>
      <w:proofErr w:type="spellEnd"/>
      <w:r>
        <w:rPr>
          <w:color w:val="000000" w:themeColor="text1"/>
        </w:rPr>
        <w:t xml:space="preserve"> более чем на 25%) в течение периода длительностью менее одного месяца, если исключены экзогенные факторы (</w:t>
      </w:r>
      <w:proofErr w:type="spellStart"/>
      <w:r>
        <w:rPr>
          <w:color w:val="000000" w:themeColor="text1"/>
        </w:rPr>
        <w:t>диарея</w:t>
      </w:r>
      <w:proofErr w:type="gramStart"/>
      <w:r>
        <w:rPr>
          <w:color w:val="000000" w:themeColor="text1"/>
        </w:rPr>
        <w:t>,р</w:t>
      </w:r>
      <w:proofErr w:type="gramEnd"/>
      <w:r>
        <w:rPr>
          <w:color w:val="000000" w:themeColor="text1"/>
        </w:rPr>
        <w:t>вота</w:t>
      </w:r>
      <w:proofErr w:type="spellEnd"/>
      <w:r>
        <w:rPr>
          <w:color w:val="000000" w:themeColor="text1"/>
        </w:rPr>
        <w:t>, ухудшение, вызванное применением диуретиков в</w:t>
      </w:r>
      <w:r>
        <w:rPr>
          <w:color w:val="000000" w:themeColor="text1"/>
        </w:rPr>
        <w:t xml:space="preserve"> период лечения ИАПФ, </w:t>
      </w:r>
      <w:proofErr w:type="spellStart"/>
      <w:r>
        <w:rPr>
          <w:color w:val="000000" w:themeColor="text1"/>
        </w:rPr>
        <w:t>БРАили</w:t>
      </w:r>
      <w:proofErr w:type="spellEnd"/>
      <w:r>
        <w:rPr>
          <w:color w:val="000000" w:themeColor="text1"/>
        </w:rPr>
        <w:t xml:space="preserve"> прямыми ингибиторами ренина);</w:t>
      </w:r>
    </w:p>
    <w:p w:rsidR="00EB244F" w:rsidRDefault="00AF3B3B" w:rsidP="00EB244F">
      <w:pPr>
        <w:pStyle w:val="a4"/>
        <w:numPr>
          <w:ilvl w:val="0"/>
          <w:numId w:val="8"/>
        </w:numPr>
        <w:tabs>
          <w:tab w:val="left" w:pos="420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прогрессирование заболевания почек (снижение СКФ &gt;5 мл/мин/год);</w:t>
      </w:r>
    </w:p>
    <w:p w:rsidR="00D2692F" w:rsidRDefault="00AF3B3B" w:rsidP="00EB244F">
      <w:pPr>
        <w:pStyle w:val="a4"/>
        <w:numPr>
          <w:ilvl w:val="0"/>
          <w:numId w:val="8"/>
        </w:numPr>
        <w:tabs>
          <w:tab w:val="left" w:pos="420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ХБП и ВАД (&gt;140/90 мм рт. ст.), трудно </w:t>
      </w:r>
      <w:proofErr w:type="gramStart"/>
      <w:r>
        <w:rPr>
          <w:color w:val="000000" w:themeColor="text1"/>
        </w:rPr>
        <w:t>поддающееся</w:t>
      </w:r>
      <w:proofErr w:type="gramEnd"/>
      <w:r>
        <w:rPr>
          <w:color w:val="000000" w:themeColor="text1"/>
        </w:rPr>
        <w:t xml:space="preserve"> лечению тремя препаратами, применяемыми в полных дозах, один из которых являе</w:t>
      </w:r>
      <w:r>
        <w:rPr>
          <w:color w:val="000000" w:themeColor="text1"/>
        </w:rPr>
        <w:t>тся диуретиком;</w:t>
      </w:r>
    </w:p>
    <w:p w:rsidR="00D2692F" w:rsidRDefault="00AF3B3B" w:rsidP="00EB244F">
      <w:pPr>
        <w:pStyle w:val="a4"/>
        <w:numPr>
          <w:ilvl w:val="0"/>
          <w:numId w:val="8"/>
        </w:numPr>
        <w:tabs>
          <w:tab w:val="left" w:pos="420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отклонение от нормы уровня калия (&gt;5,5 </w:t>
      </w:r>
      <w:proofErr w:type="spellStart"/>
      <w:r>
        <w:rPr>
          <w:color w:val="000000" w:themeColor="text1"/>
        </w:rPr>
        <w:t>мЭкв</w:t>
      </w:r>
      <w:proofErr w:type="spellEnd"/>
      <w:r>
        <w:rPr>
          <w:color w:val="000000" w:themeColor="text1"/>
        </w:rPr>
        <w:t xml:space="preserve">/л или &lt;3,5 </w:t>
      </w:r>
      <w:proofErr w:type="spellStart"/>
      <w:r>
        <w:rPr>
          <w:color w:val="000000" w:themeColor="text1"/>
        </w:rPr>
        <w:t>мЭкв</w:t>
      </w:r>
      <w:proofErr w:type="spellEnd"/>
      <w:r>
        <w:rPr>
          <w:color w:val="000000" w:themeColor="text1"/>
        </w:rPr>
        <w:t>/л, при условии, что пациент не получает диуретики);</w:t>
      </w:r>
    </w:p>
    <w:p w:rsidR="00D2692F" w:rsidRDefault="00AF3B3B" w:rsidP="00EB244F">
      <w:pPr>
        <w:pStyle w:val="a4"/>
        <w:numPr>
          <w:ilvl w:val="0"/>
          <w:numId w:val="8"/>
        </w:numPr>
        <w:tabs>
          <w:tab w:val="left" w:pos="420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анемия при ХБП: содержание гемоглобина (</w:t>
      </w:r>
      <w:proofErr w:type="spellStart"/>
      <w:r>
        <w:rPr>
          <w:color w:val="000000" w:themeColor="text1"/>
        </w:rPr>
        <w:t>Hb</w:t>
      </w:r>
      <w:proofErr w:type="spellEnd"/>
      <w:r>
        <w:rPr>
          <w:color w:val="000000" w:themeColor="text1"/>
        </w:rPr>
        <w:t>) &lt;10,5 г/</w:t>
      </w:r>
      <w:proofErr w:type="spellStart"/>
      <w:proofErr w:type="gramStart"/>
      <w:r>
        <w:rPr>
          <w:color w:val="000000" w:themeColor="text1"/>
        </w:rPr>
        <w:t>дл</w:t>
      </w:r>
      <w:proofErr w:type="spellEnd"/>
      <w:proofErr w:type="gramEnd"/>
      <w:r>
        <w:rPr>
          <w:color w:val="000000" w:themeColor="text1"/>
        </w:rPr>
        <w:t xml:space="preserve"> несмотря на восполнение дефицита железа (индекс насыщения </w:t>
      </w:r>
      <w:proofErr w:type="spellStart"/>
      <w:r>
        <w:rPr>
          <w:color w:val="000000" w:themeColor="text1"/>
        </w:rPr>
        <w:t>трансферрин</w:t>
      </w:r>
      <w:r>
        <w:rPr>
          <w:color w:val="000000" w:themeColor="text1"/>
        </w:rPr>
        <w:t>а</w:t>
      </w:r>
      <w:proofErr w:type="spellEnd"/>
      <w:r>
        <w:rPr>
          <w:color w:val="000000" w:themeColor="text1"/>
        </w:rPr>
        <w:t xml:space="preserve"> (ИНТ) &gt;20% и содержание </w:t>
      </w:r>
      <w:proofErr w:type="spellStart"/>
      <w:r>
        <w:rPr>
          <w:color w:val="000000" w:themeColor="text1"/>
        </w:rPr>
        <w:t>ферритина</w:t>
      </w:r>
      <w:proofErr w:type="spellEnd"/>
      <w:r>
        <w:rPr>
          <w:color w:val="000000" w:themeColor="text1"/>
        </w:rPr>
        <w:t xml:space="preserve"> &gt;100);</w:t>
      </w:r>
    </w:p>
    <w:p w:rsidR="00D2692F" w:rsidRDefault="00AF3B3B" w:rsidP="00EB244F">
      <w:pPr>
        <w:pStyle w:val="a4"/>
        <w:numPr>
          <w:ilvl w:val="0"/>
          <w:numId w:val="8"/>
        </w:numPr>
        <w:tabs>
          <w:tab w:val="left" w:pos="420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гематурия неурологического происхождения, сопровождающаяся протеинурией;</w:t>
      </w:r>
    </w:p>
    <w:p w:rsidR="00D2692F" w:rsidRDefault="00AF3B3B" w:rsidP="00EB244F">
      <w:pPr>
        <w:pStyle w:val="a4"/>
        <w:numPr>
          <w:ilvl w:val="0"/>
          <w:numId w:val="8"/>
        </w:numPr>
        <w:tabs>
          <w:tab w:val="left" w:pos="420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снижение </w:t>
      </w:r>
      <w:proofErr w:type="spellStart"/>
      <w:r>
        <w:rPr>
          <w:color w:val="000000" w:themeColor="text1"/>
        </w:rPr>
        <w:t>рСКФ</w:t>
      </w:r>
      <w:proofErr w:type="spellEnd"/>
      <w:r>
        <w:rPr>
          <w:color w:val="000000" w:themeColor="text1"/>
        </w:rPr>
        <w:t xml:space="preserve"> более чем на 25% в течение менее одного месяца или увеличение уровня </w:t>
      </w:r>
      <w:proofErr w:type="spellStart"/>
      <w:r>
        <w:rPr>
          <w:color w:val="000000" w:themeColor="text1"/>
        </w:rPr>
        <w:t>креатинина</w:t>
      </w:r>
      <w:proofErr w:type="spellEnd"/>
      <w:r>
        <w:rPr>
          <w:color w:val="000000" w:themeColor="text1"/>
        </w:rPr>
        <w:t xml:space="preserve"> в плазме более чем на 25% в течение менее </w:t>
      </w:r>
      <w:r>
        <w:rPr>
          <w:color w:val="000000" w:themeColor="text1"/>
        </w:rPr>
        <w:t>одного месяца, если исключены экзогенные факторы (диарея, рвота, ухудшение, вызванное применением диуретиков в период лечения ИАПФ, БРА или прямыми ингибиторами ренина).</w:t>
      </w:r>
    </w:p>
    <w:p w:rsidR="00D2692F" w:rsidRDefault="00AF3B3B" w:rsidP="00EB244F">
      <w:pPr>
        <w:pStyle w:val="a4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зависимости от случая пациент может наблюдаться у своего </w:t>
      </w:r>
      <w:r>
        <w:rPr>
          <w:color w:val="000000" w:themeColor="text1"/>
        </w:rPr>
        <w:lastRenderedPageBreak/>
        <w:t>врача-терапевта или паралле</w:t>
      </w:r>
      <w:r>
        <w:rPr>
          <w:color w:val="000000" w:themeColor="text1"/>
        </w:rPr>
        <w:t>льно у терапевта и у специалиста-нефролога.</w:t>
      </w:r>
    </w:p>
    <w:p w:rsidR="00D2692F" w:rsidRDefault="00AF3B3B" w:rsidP="00EB244F">
      <w:pPr>
        <w:ind w:firstLine="709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ПРЕДОТВРАЩЕНИЕ ТОКСИЧНОГО ВОЗДЕЙСТВИЯ НА ПОЧКИ</w:t>
      </w:r>
    </w:p>
    <w:p w:rsidR="00D2692F" w:rsidRDefault="00AF3B3B" w:rsidP="00EB244F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После того, как у пациента была диагностирована ХБП, самая важная задача – избежать дальнейшего развития заболевания, следовательно, мы должны быть осведомлены о </w:t>
      </w:r>
      <w:r>
        <w:rPr>
          <w:color w:val="000000" w:themeColor="text1"/>
        </w:rPr>
        <w:t xml:space="preserve">том, что существуют препараты, применяемые в повседневной жизни, и, в частности, </w:t>
      </w:r>
      <w:proofErr w:type="spellStart"/>
      <w:r>
        <w:rPr>
          <w:color w:val="000000" w:themeColor="text1"/>
        </w:rPr>
        <w:t>препараты</w:t>
      </w:r>
      <w:proofErr w:type="gramStart"/>
      <w:r>
        <w:rPr>
          <w:color w:val="000000" w:themeColor="text1"/>
        </w:rPr>
        <w:t>,и</w:t>
      </w:r>
      <w:proofErr w:type="gramEnd"/>
      <w:r>
        <w:rPr>
          <w:color w:val="000000" w:themeColor="text1"/>
        </w:rPr>
        <w:t>спользуемые</w:t>
      </w:r>
      <w:proofErr w:type="spellEnd"/>
      <w:r>
        <w:rPr>
          <w:color w:val="000000" w:themeColor="text1"/>
        </w:rPr>
        <w:t xml:space="preserve"> для лечения таких пациентов, которые могут вызвать прогресс ХБП. Более того, неизбирательное использование вводимых внутривенно контрастных веществ без </w:t>
      </w:r>
      <w:r>
        <w:rPr>
          <w:color w:val="000000" w:themeColor="text1"/>
        </w:rPr>
        <w:t xml:space="preserve">предварительной подготовки может вызвать контраст-индуцированную нефропатию. Таким образом, следует избегать применения </w:t>
      </w:r>
      <w:proofErr w:type="spellStart"/>
      <w:r>
        <w:rPr>
          <w:color w:val="000000" w:themeColor="text1"/>
        </w:rPr>
        <w:t>нефротоксичных</w:t>
      </w:r>
      <w:proofErr w:type="spellEnd"/>
      <w:r>
        <w:rPr>
          <w:color w:val="000000" w:themeColor="text1"/>
        </w:rPr>
        <w:t xml:space="preserve"> препаратов и минимизировать использование вводимых внутривенно контрастов и их воздействие.</w:t>
      </w:r>
    </w:p>
    <w:p w:rsidR="00D2692F" w:rsidRDefault="00AF3B3B" w:rsidP="00EB244F">
      <w:pPr>
        <w:ind w:firstLine="709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Избегайте применения </w:t>
      </w:r>
      <w:proofErr w:type="spellStart"/>
      <w:r>
        <w:rPr>
          <w:i/>
          <w:iCs/>
          <w:color w:val="000000" w:themeColor="text1"/>
        </w:rPr>
        <w:t>нефроток</w:t>
      </w:r>
      <w:r>
        <w:rPr>
          <w:i/>
          <w:iCs/>
          <w:color w:val="000000" w:themeColor="text1"/>
        </w:rPr>
        <w:t>синов</w:t>
      </w:r>
      <w:proofErr w:type="spellEnd"/>
      <w:r>
        <w:rPr>
          <w:i/>
          <w:iCs/>
          <w:color w:val="000000" w:themeColor="text1"/>
        </w:rPr>
        <w:t xml:space="preserve"> и соблюдайте осторожность при использовании препаратов, которые могут повлиять на </w:t>
      </w:r>
      <w:proofErr w:type="spellStart"/>
      <w:r>
        <w:rPr>
          <w:i/>
          <w:iCs/>
          <w:color w:val="000000" w:themeColor="text1"/>
        </w:rPr>
        <w:t>гломерулярную</w:t>
      </w:r>
      <w:proofErr w:type="spellEnd"/>
      <w:r>
        <w:rPr>
          <w:i/>
          <w:iCs/>
          <w:color w:val="000000" w:themeColor="text1"/>
        </w:rPr>
        <w:t xml:space="preserve"> гемодинамику.</w:t>
      </w:r>
    </w:p>
    <w:p w:rsidR="006D76AB" w:rsidRDefault="006D76AB" w:rsidP="00EB244F">
      <w:pPr>
        <w:ind w:firstLine="709"/>
        <w:jc w:val="center"/>
        <w:rPr>
          <w:i/>
          <w:iCs/>
          <w:color w:val="000000" w:themeColor="text1"/>
        </w:rPr>
      </w:pPr>
    </w:p>
    <w:p w:rsidR="00D2692F" w:rsidRPr="006D76AB" w:rsidRDefault="00AF3B3B" w:rsidP="00EB244F">
      <w:pPr>
        <w:ind w:firstLine="709"/>
        <w:jc w:val="center"/>
        <w:rPr>
          <w:i/>
          <w:iCs/>
          <w:color w:val="000000" w:themeColor="text1"/>
        </w:rPr>
      </w:pPr>
      <w:r w:rsidRPr="006D76AB">
        <w:rPr>
          <w:i/>
          <w:iCs/>
          <w:color w:val="000000" w:themeColor="text1"/>
        </w:rPr>
        <w:t>ПРАВИЛА ПРИ ХБП</w:t>
      </w:r>
    </w:p>
    <w:p w:rsidR="00D2692F" w:rsidRDefault="00AF3B3B" w:rsidP="006D76AB">
      <w:pPr>
        <w:numPr>
          <w:ilvl w:val="0"/>
          <w:numId w:val="4"/>
        </w:num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Избегайте </w:t>
      </w:r>
      <w:proofErr w:type="spellStart"/>
      <w:r>
        <w:rPr>
          <w:color w:val="000000" w:themeColor="text1"/>
        </w:rPr>
        <w:t>гиперкалиемии</w:t>
      </w:r>
      <w:proofErr w:type="spellEnd"/>
      <w:r>
        <w:rPr>
          <w:color w:val="000000" w:themeColor="text1"/>
        </w:rPr>
        <w:t xml:space="preserve">, </w:t>
      </w:r>
      <w:proofErr w:type="gramStart"/>
      <w:r>
        <w:rPr>
          <w:color w:val="000000" w:themeColor="text1"/>
        </w:rPr>
        <w:t>обусловленной</w:t>
      </w:r>
      <w:proofErr w:type="gramEnd"/>
      <w:r>
        <w:rPr>
          <w:color w:val="000000" w:themeColor="text1"/>
        </w:rPr>
        <w:t xml:space="preserve"> применением лекарственных препаратов.  Особую осторожность следует соблюдать при испо</w:t>
      </w:r>
      <w:r>
        <w:rPr>
          <w:color w:val="000000" w:themeColor="text1"/>
        </w:rPr>
        <w:t>льзовании калийсберегающих диуретиков (</w:t>
      </w:r>
      <w:proofErr w:type="spellStart"/>
      <w:r>
        <w:rPr>
          <w:color w:val="000000" w:themeColor="text1"/>
        </w:rPr>
        <w:t>спиронолактон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амилорид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эплеренон</w:t>
      </w:r>
      <w:proofErr w:type="spellEnd"/>
      <w:r>
        <w:rPr>
          <w:color w:val="000000" w:themeColor="text1"/>
        </w:rPr>
        <w:t>) в сочетании с другими препаратами, удерживающими калий (ИАПФ, БРА, прямые ингибиторы ренина, НСПВП, бета блокаторы).</w:t>
      </w:r>
      <w:r>
        <w:rPr>
          <w:b/>
          <w:bCs/>
          <w:color w:val="000000" w:themeColor="text1"/>
        </w:rPr>
        <w:t xml:space="preserve"> В этом случае важно часто измерять уровень калия в сыворотке.</w:t>
      </w:r>
    </w:p>
    <w:p w:rsidR="00D2692F" w:rsidRDefault="00AF3B3B" w:rsidP="006D76AB">
      <w:pPr>
        <w:numPr>
          <w:ilvl w:val="0"/>
          <w:numId w:val="4"/>
        </w:num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И</w:t>
      </w:r>
      <w:r>
        <w:rPr>
          <w:color w:val="000000" w:themeColor="text1"/>
        </w:rPr>
        <w:t>збегайте использования препаратов, которые могут вызвать быстрое уменьшение объема циркулирующей жидкости и повредить почечные канальцы, особенно в условиях обезвоживания, а также препараты, которые оказывают непосредственное негативное действие на почечны</w:t>
      </w:r>
      <w:r>
        <w:rPr>
          <w:color w:val="000000" w:themeColor="text1"/>
        </w:rPr>
        <w:t>е канальцы (</w:t>
      </w:r>
      <w:proofErr w:type="spellStart"/>
      <w:r>
        <w:rPr>
          <w:color w:val="000000" w:themeColor="text1"/>
        </w:rPr>
        <w:t>аминогликозиды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такролимус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циклоспорин</w:t>
      </w:r>
      <w:proofErr w:type="spellEnd"/>
      <w:r>
        <w:rPr>
          <w:color w:val="000000" w:themeColor="text1"/>
        </w:rPr>
        <w:t xml:space="preserve"> А).</w:t>
      </w:r>
    </w:p>
    <w:p w:rsidR="00D2692F" w:rsidRDefault="00AF3B3B" w:rsidP="006D76AB">
      <w:pPr>
        <w:numPr>
          <w:ilvl w:val="0"/>
          <w:numId w:val="4"/>
        </w:num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Мы должны особо подчеркнуть, что не следует без особой необходимости применять НПВП, так как это сопряжено с риском ухудшения функции почек. </w:t>
      </w:r>
    </w:p>
    <w:p w:rsidR="00D2692F" w:rsidRDefault="00AF3B3B" w:rsidP="006D76AB">
      <w:pPr>
        <w:numPr>
          <w:ilvl w:val="0"/>
          <w:numId w:val="4"/>
        </w:num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Подбирайте назначаемые препараты с учетом СКФ, особенно д</w:t>
      </w:r>
      <w:r>
        <w:rPr>
          <w:color w:val="000000" w:themeColor="text1"/>
        </w:rPr>
        <w:t xml:space="preserve">ля пациентов пожилого возраста и диабетиков. Особую осторожность следует соблюдать при использовании у этих пациентов </w:t>
      </w:r>
      <w:proofErr w:type="spellStart"/>
      <w:r>
        <w:rPr>
          <w:color w:val="000000" w:themeColor="text1"/>
        </w:rPr>
        <w:t>метформина</w:t>
      </w:r>
      <w:proofErr w:type="spellEnd"/>
      <w:r>
        <w:rPr>
          <w:color w:val="000000" w:themeColor="text1"/>
        </w:rPr>
        <w:t xml:space="preserve"> (не следует применять при </w:t>
      </w:r>
      <w:proofErr w:type="spellStart"/>
      <w:r>
        <w:rPr>
          <w:color w:val="000000" w:themeColor="text1"/>
        </w:rPr>
        <w:t>рСКФ</w:t>
      </w:r>
      <w:proofErr w:type="spellEnd"/>
      <w:r>
        <w:rPr>
          <w:color w:val="000000" w:themeColor="text1"/>
        </w:rPr>
        <w:t xml:space="preserve"> &lt;30 мл/мин/1,73 м</w:t>
      </w:r>
      <w:proofErr w:type="gramStart"/>
      <w:r>
        <w:rPr>
          <w:color w:val="000000" w:themeColor="text1"/>
        </w:rPr>
        <w:t>2</w:t>
      </w:r>
      <w:proofErr w:type="gramEnd"/>
      <w:r>
        <w:rPr>
          <w:color w:val="000000" w:themeColor="text1"/>
        </w:rPr>
        <w:t>), противодиабетических препаратов, применяемых перорально и выводящихся с моч</w:t>
      </w:r>
      <w:r>
        <w:rPr>
          <w:color w:val="000000" w:themeColor="text1"/>
        </w:rPr>
        <w:t xml:space="preserve">ой, новых антикоагулянтов, </w:t>
      </w:r>
      <w:proofErr w:type="spellStart"/>
      <w:r>
        <w:rPr>
          <w:color w:val="000000" w:themeColor="text1"/>
        </w:rPr>
        <w:t>нефротоксичных</w:t>
      </w:r>
      <w:proofErr w:type="spellEnd"/>
      <w:r>
        <w:rPr>
          <w:color w:val="000000" w:themeColor="text1"/>
        </w:rPr>
        <w:t xml:space="preserve"> антибиотиков и некоторых гепаринов. Многие препараты оказывают </w:t>
      </w:r>
      <w:r>
        <w:rPr>
          <w:color w:val="000000" w:themeColor="text1"/>
        </w:rPr>
        <w:lastRenderedPageBreak/>
        <w:t xml:space="preserve">прямое токсическое действие на почки, и их неблагоприятные эффекты усиливаются при использовании в комбинации с препаратами, влияющими на </w:t>
      </w:r>
      <w:proofErr w:type="spellStart"/>
      <w:r>
        <w:rPr>
          <w:color w:val="000000" w:themeColor="text1"/>
        </w:rPr>
        <w:t>гломерулярную</w:t>
      </w:r>
      <w:proofErr w:type="spellEnd"/>
      <w:r>
        <w:rPr>
          <w:color w:val="000000" w:themeColor="text1"/>
        </w:rPr>
        <w:t xml:space="preserve"> гемодинамику. Очень важно избегать использования этих препаратов в ситуациях, сопряженных с риском, или подбирать их дозу в соответствии с показателем </w:t>
      </w:r>
      <w:proofErr w:type="spellStart"/>
      <w:r>
        <w:rPr>
          <w:color w:val="000000" w:themeColor="text1"/>
        </w:rPr>
        <w:t>рСКФ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аминогликозиды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ванкомицин</w:t>
      </w:r>
      <w:proofErr w:type="spellEnd"/>
      <w:r>
        <w:rPr>
          <w:color w:val="000000" w:themeColor="text1"/>
        </w:rPr>
        <w:t xml:space="preserve">, ацикловир, </w:t>
      </w:r>
      <w:proofErr w:type="spellStart"/>
      <w:r>
        <w:rPr>
          <w:color w:val="000000" w:themeColor="text1"/>
        </w:rPr>
        <w:t>тенофовир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амфотерицин</w:t>
      </w:r>
      <w:proofErr w:type="spellEnd"/>
      <w:r>
        <w:rPr>
          <w:color w:val="000000" w:themeColor="text1"/>
        </w:rPr>
        <w:t xml:space="preserve"> и т.д.).</w:t>
      </w:r>
    </w:p>
    <w:p w:rsidR="00D2692F" w:rsidRDefault="00D2692F" w:rsidP="00EB244F">
      <w:pPr>
        <w:ind w:firstLine="709"/>
        <w:jc w:val="center"/>
        <w:rPr>
          <w:i/>
          <w:iCs/>
          <w:color w:val="000000" w:themeColor="text1"/>
        </w:rPr>
      </w:pPr>
    </w:p>
    <w:p w:rsidR="00D2692F" w:rsidRDefault="00AF3B3B" w:rsidP="00EB244F">
      <w:pPr>
        <w:ind w:firstLine="709"/>
        <w:jc w:val="center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МИНИМИЗИРУЙТЕ ИСПОЛЬЗОВАНИ</w:t>
      </w:r>
      <w:r>
        <w:rPr>
          <w:i/>
          <w:iCs/>
          <w:color w:val="000000" w:themeColor="text1"/>
        </w:rPr>
        <w:t>Е ВВОДИМЫХ ВНУТРИВЕННО КОНТРАСТОВ</w:t>
      </w:r>
    </w:p>
    <w:p w:rsidR="00D2692F" w:rsidRDefault="00AF3B3B" w:rsidP="00EB244F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Контраст-индуцированную нефропатию определяют, как ухудшение функции почек, которое проявляется в относительном повышении уровня </w:t>
      </w:r>
      <w:proofErr w:type="spellStart"/>
      <w:r>
        <w:rPr>
          <w:color w:val="000000" w:themeColor="text1"/>
        </w:rPr>
        <w:t>креатинина</w:t>
      </w:r>
      <w:proofErr w:type="spellEnd"/>
      <w:r>
        <w:rPr>
          <w:color w:val="000000" w:themeColor="text1"/>
        </w:rPr>
        <w:t xml:space="preserve"> на 25% или в абсолютном повышении уровня </w:t>
      </w:r>
      <w:proofErr w:type="spellStart"/>
      <w:r>
        <w:rPr>
          <w:color w:val="000000" w:themeColor="text1"/>
        </w:rPr>
        <w:t>креатинина</w:t>
      </w:r>
      <w:proofErr w:type="spellEnd"/>
      <w:r>
        <w:rPr>
          <w:color w:val="000000" w:themeColor="text1"/>
        </w:rPr>
        <w:t xml:space="preserve"> на 0,5 мг/</w:t>
      </w:r>
      <w:proofErr w:type="spellStart"/>
      <w:r>
        <w:rPr>
          <w:color w:val="000000" w:themeColor="text1"/>
        </w:rPr>
        <w:t>дл</w:t>
      </w:r>
      <w:proofErr w:type="spellEnd"/>
      <w:r>
        <w:rPr>
          <w:color w:val="000000" w:themeColor="text1"/>
        </w:rPr>
        <w:t xml:space="preserve"> относительно исходных значений, происходящем в тече</w:t>
      </w:r>
      <w:r>
        <w:rPr>
          <w:color w:val="000000" w:themeColor="text1"/>
        </w:rPr>
        <w:t xml:space="preserve">ние первых трех дней после введения контраста (если исключены другие возможные механизмы). Она возникает в результате прямого токсичного воздействия на клетки почечных канальцев. </w:t>
      </w:r>
    </w:p>
    <w:p w:rsidR="00D2692F" w:rsidRDefault="00AF3B3B" w:rsidP="00EB244F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Наиболее важный аспект предотвращения нефропатии, вызванной контрастным веще</w:t>
      </w:r>
      <w:r>
        <w:rPr>
          <w:color w:val="000000" w:themeColor="text1"/>
        </w:rPr>
        <w:t>ством, состоит в том, чтобы определить, относится ли пациент к категории, в которой существует риск развития такой нефропатии (пожилой возраст, сердечная недостаточность, СД, почечная недостаточность в анамнезе, обезвоживание, инфаркт миокарда, шок, контра</w:t>
      </w:r>
      <w:r>
        <w:rPr>
          <w:color w:val="000000" w:themeColor="text1"/>
        </w:rPr>
        <w:t xml:space="preserve">стный объем, анемия, низкое артериальное давление, применение </w:t>
      </w:r>
      <w:proofErr w:type="spellStart"/>
      <w:r>
        <w:rPr>
          <w:color w:val="000000" w:themeColor="text1"/>
        </w:rPr>
        <w:t>нефротоксичных</w:t>
      </w:r>
      <w:proofErr w:type="spellEnd"/>
      <w:r>
        <w:rPr>
          <w:color w:val="000000" w:themeColor="text1"/>
        </w:rPr>
        <w:t xml:space="preserve"> препаратов и высоких доз диуретиков, следует соблюдать осторожность при использовании препаратов, влияющих на </w:t>
      </w:r>
      <w:proofErr w:type="spellStart"/>
      <w:r>
        <w:rPr>
          <w:color w:val="000000" w:themeColor="text1"/>
        </w:rPr>
        <w:t>гломерулярную</w:t>
      </w:r>
      <w:proofErr w:type="spellEnd"/>
      <w:proofErr w:type="gramEnd"/>
      <w:r>
        <w:rPr>
          <w:color w:val="000000" w:themeColor="text1"/>
        </w:rPr>
        <w:t xml:space="preserve"> гемодинамику, и избегать низкого артериального давления</w:t>
      </w:r>
      <w:r>
        <w:rPr>
          <w:color w:val="000000" w:themeColor="text1"/>
        </w:rPr>
        <w:t xml:space="preserve">). </w:t>
      </w:r>
    </w:p>
    <w:p w:rsidR="00D2692F" w:rsidRDefault="00AF3B3B" w:rsidP="00EB244F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Лучшее лечение – это предотвращение, </w:t>
      </w:r>
      <w:proofErr w:type="gramStart"/>
      <w:r>
        <w:rPr>
          <w:color w:val="000000" w:themeColor="text1"/>
        </w:rPr>
        <w:t>избежание</w:t>
      </w:r>
      <w:proofErr w:type="gramEnd"/>
      <w:r>
        <w:rPr>
          <w:color w:val="000000" w:themeColor="text1"/>
        </w:rPr>
        <w:t xml:space="preserve"> ситуаций, сопряженных с риском. Мы рекомендуем прекратить прием диуретиков за 4-6 дней до введения контраста, а также восполнять потерю воды посредством внутривенного вливания жидкости и питья воды. </w:t>
      </w:r>
    </w:p>
    <w:p w:rsidR="00D2692F" w:rsidRDefault="00AF3B3B" w:rsidP="00EB244F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После</w:t>
      </w:r>
      <w:r>
        <w:rPr>
          <w:color w:val="000000" w:themeColor="text1"/>
        </w:rPr>
        <w:t xml:space="preserve"> введения контраста некоторые препараты могут быть потенциально токсичными, например, </w:t>
      </w:r>
      <w:proofErr w:type="spellStart"/>
      <w:r>
        <w:rPr>
          <w:color w:val="000000" w:themeColor="text1"/>
        </w:rPr>
        <w:t>метформин</w:t>
      </w:r>
      <w:proofErr w:type="spellEnd"/>
      <w:r>
        <w:rPr>
          <w:color w:val="000000" w:themeColor="text1"/>
        </w:rPr>
        <w:t xml:space="preserve">. Однако, на текущий момент недостаточно данных, свидетельствующих о необходимости прекращения приема </w:t>
      </w:r>
      <w:proofErr w:type="spellStart"/>
      <w:r>
        <w:rPr>
          <w:color w:val="000000" w:themeColor="text1"/>
        </w:rPr>
        <w:t>метформина</w:t>
      </w:r>
      <w:proofErr w:type="spellEnd"/>
      <w:r>
        <w:rPr>
          <w:color w:val="000000" w:themeColor="text1"/>
        </w:rPr>
        <w:t xml:space="preserve"> пациентами с нормальной функцией почек при введе</w:t>
      </w:r>
      <w:r>
        <w:rPr>
          <w:color w:val="000000" w:themeColor="text1"/>
        </w:rPr>
        <w:t>нии им «среднего» количества контраста (35), хотя некоторые авторы считают, что такая необходимость существует.</w:t>
      </w:r>
    </w:p>
    <w:p w:rsidR="00D2692F" w:rsidRDefault="00D2692F">
      <w:pPr>
        <w:spacing w:before="64" w:line="250" w:lineRule="exact"/>
        <w:jc w:val="center"/>
        <w:rPr>
          <w:color w:val="000000" w:themeColor="text1"/>
        </w:rPr>
      </w:pPr>
    </w:p>
    <w:p w:rsidR="00D2692F" w:rsidRDefault="00D2692F">
      <w:pPr>
        <w:spacing w:before="64" w:line="250" w:lineRule="exact"/>
        <w:jc w:val="center"/>
        <w:rPr>
          <w:color w:val="000000" w:themeColor="text1"/>
        </w:rPr>
      </w:pPr>
    </w:p>
    <w:p w:rsidR="00D2692F" w:rsidRDefault="00D2692F">
      <w:pPr>
        <w:spacing w:before="64" w:line="250" w:lineRule="exact"/>
        <w:jc w:val="center"/>
        <w:rPr>
          <w:color w:val="000000" w:themeColor="text1"/>
        </w:rPr>
      </w:pPr>
    </w:p>
    <w:p w:rsidR="00D2692F" w:rsidRDefault="00D2692F">
      <w:pPr>
        <w:spacing w:before="64" w:line="250" w:lineRule="exact"/>
        <w:jc w:val="center"/>
        <w:rPr>
          <w:color w:val="000000" w:themeColor="text1"/>
        </w:rPr>
      </w:pPr>
    </w:p>
    <w:p w:rsidR="006D76AB" w:rsidRDefault="00AF3B3B" w:rsidP="006D76AB">
      <w:pPr>
        <w:spacing w:before="64" w:line="250" w:lineRule="exact"/>
        <w:jc w:val="righ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Приложение 2. </w:t>
      </w:r>
    </w:p>
    <w:p w:rsidR="006D76AB" w:rsidRDefault="006D76AB">
      <w:pPr>
        <w:spacing w:before="64" w:line="250" w:lineRule="exact"/>
        <w:jc w:val="center"/>
        <w:rPr>
          <w:b/>
          <w:bCs/>
          <w:color w:val="000000" w:themeColor="text1"/>
        </w:rPr>
      </w:pPr>
    </w:p>
    <w:p w:rsidR="00D2692F" w:rsidRDefault="00AF3B3B">
      <w:pPr>
        <w:spacing w:before="64" w:line="250" w:lineRule="exact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ПОДХОДЫ, ОБРАЗ ЖИЗНИ И ЛЕЧЕНИЕ</w:t>
      </w:r>
    </w:p>
    <w:p w:rsidR="00D2692F" w:rsidRDefault="00AF3B3B">
      <w:pPr>
        <w:spacing w:before="64" w:line="250" w:lineRule="exact"/>
        <w:jc w:val="center"/>
        <w:rPr>
          <w:color w:val="000000" w:themeColor="text1"/>
        </w:rPr>
      </w:pPr>
      <w:r>
        <w:rPr>
          <w:color w:val="000000" w:themeColor="text1"/>
        </w:rPr>
        <w:t>Физические упражнения</w:t>
      </w:r>
    </w:p>
    <w:p w:rsidR="00D2692F" w:rsidRDefault="00AF3B3B">
      <w:pPr>
        <w:spacing w:before="64" w:line="250" w:lineRule="exact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В качестве общего правила рекомендуется делать упражнения со средней</w:t>
      </w:r>
      <w:r>
        <w:rPr>
          <w:color w:val="000000" w:themeColor="text1"/>
        </w:rPr>
        <w:t xml:space="preserve"> физической нагрузкой в течение 30-60 минут 4-7 дней в неделю. После того, как у пациента диагностировали заболевание почек, упражнения следует адаптировать в соответствии с физическими возможностями каждого пациента.</w:t>
      </w:r>
    </w:p>
    <w:p w:rsidR="00D2692F" w:rsidRDefault="00AF3B3B">
      <w:pPr>
        <w:spacing w:before="64" w:line="250" w:lineRule="exact"/>
        <w:jc w:val="center"/>
        <w:rPr>
          <w:color w:val="000000" w:themeColor="text1"/>
        </w:rPr>
      </w:pPr>
      <w:r>
        <w:rPr>
          <w:color w:val="000000" w:themeColor="text1"/>
        </w:rPr>
        <w:t>Рацион</w:t>
      </w:r>
    </w:p>
    <w:p w:rsidR="00D2692F" w:rsidRDefault="00AF3B3B">
      <w:pPr>
        <w:spacing w:before="64" w:line="250" w:lineRule="exact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Рекомендации по пищевому рацион</w:t>
      </w:r>
      <w:r>
        <w:rPr>
          <w:color w:val="000000" w:themeColor="text1"/>
        </w:rPr>
        <w:t>у следует составлять с учетом индивидуальных особенностей пациента, чтобы пациент не набирал лишний вес или чтобы предотвратить ожирение. Также необходимо учитывать состояние функции почек и наличие других факторов</w:t>
      </w:r>
    </w:p>
    <w:p w:rsidR="00D2692F" w:rsidRDefault="00AF3B3B">
      <w:pPr>
        <w:spacing w:before="64" w:line="250" w:lineRule="exact"/>
        <w:jc w:val="both"/>
        <w:rPr>
          <w:color w:val="000000" w:themeColor="text1"/>
        </w:rPr>
      </w:pPr>
      <w:r>
        <w:rPr>
          <w:color w:val="000000" w:themeColor="text1"/>
        </w:rPr>
        <w:t xml:space="preserve">риска, требующих некоторых специфических </w:t>
      </w:r>
      <w:r>
        <w:rPr>
          <w:color w:val="000000" w:themeColor="text1"/>
        </w:rPr>
        <w:t xml:space="preserve">ограничений. </w:t>
      </w:r>
    </w:p>
    <w:p w:rsidR="00D2692F" w:rsidRDefault="00AF3B3B">
      <w:pPr>
        <w:spacing w:before="64" w:line="250" w:lineRule="exact"/>
        <w:jc w:val="both"/>
        <w:rPr>
          <w:color w:val="000000" w:themeColor="text1"/>
        </w:rPr>
      </w:pPr>
      <w:r>
        <w:rPr>
          <w:color w:val="000000" w:themeColor="text1"/>
        </w:rPr>
        <w:t xml:space="preserve"> 1-3 стадия ХБП: рацион с низким содержанием соли рекомендуется только в случае ВАД, </w:t>
      </w:r>
    </w:p>
    <w:p w:rsidR="00D2692F" w:rsidRDefault="00AF3B3B">
      <w:pPr>
        <w:spacing w:before="64" w:line="250" w:lineRule="exact"/>
        <w:jc w:val="both"/>
        <w:rPr>
          <w:color w:val="000000" w:themeColor="text1"/>
        </w:rPr>
      </w:pPr>
      <w:r>
        <w:rPr>
          <w:color w:val="000000" w:themeColor="text1"/>
        </w:rPr>
        <w:t xml:space="preserve"> 4-5 стадия ХБП: рекомендуется рацион с низким содержанием натрия, фосфора и калия. </w:t>
      </w:r>
    </w:p>
    <w:p w:rsidR="00D2692F" w:rsidRDefault="00AF3B3B">
      <w:pPr>
        <w:spacing w:before="64" w:line="250" w:lineRule="exact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Рекомендации, касающиеся энергетической ценности пищи, соответствуют </w:t>
      </w:r>
      <w:r>
        <w:rPr>
          <w:color w:val="000000" w:themeColor="text1"/>
        </w:rPr>
        <w:t>общепринятым рекомендациям. Согласно имеющимся данным, ограничение потребления белка замедляет прогрессирование почечной недостаточности, и его следует применять после того, как СКФ снизится до &lt;30 мл/мин, за исключением случаев, в которых имеет место прот</w:t>
      </w:r>
      <w:r>
        <w:rPr>
          <w:color w:val="000000" w:themeColor="text1"/>
        </w:rPr>
        <w:t xml:space="preserve">еинурия, обусловленная </w:t>
      </w:r>
      <w:proofErr w:type="spellStart"/>
      <w:r>
        <w:rPr>
          <w:color w:val="000000" w:themeColor="text1"/>
        </w:rPr>
        <w:t>гиперфильтрацией</w:t>
      </w:r>
      <w:proofErr w:type="spellEnd"/>
      <w:r>
        <w:rPr>
          <w:color w:val="000000" w:themeColor="text1"/>
        </w:rPr>
        <w:t>. В таких случаях потребление белка следует ограничить намного раньше, даже при нормальном функционировании почек. Количество потребляемого белка следует снизить до 0,8 г/кг/день (как минимум половину должны составлят</w:t>
      </w:r>
      <w:r>
        <w:rPr>
          <w:color w:val="000000" w:themeColor="text1"/>
        </w:rPr>
        <w:t>ь белки животного происхождения, имеющие высокое биологическое значение). До 4 стадии ХБП показано соблюдать малобелковую диету с содержанием белка 0,6-0,8 г/кг/</w:t>
      </w:r>
      <w:proofErr w:type="spellStart"/>
      <w:r>
        <w:rPr>
          <w:color w:val="000000" w:themeColor="text1"/>
        </w:rPr>
        <w:t>день</w:t>
      </w:r>
      <w:proofErr w:type="gramStart"/>
      <w:r>
        <w:rPr>
          <w:color w:val="000000" w:themeColor="text1"/>
        </w:rPr>
        <w:t>,н</w:t>
      </w:r>
      <w:proofErr w:type="gramEnd"/>
      <w:r>
        <w:rPr>
          <w:color w:val="000000" w:themeColor="text1"/>
        </w:rPr>
        <w:t>ачиная</w:t>
      </w:r>
      <w:proofErr w:type="spellEnd"/>
      <w:r>
        <w:rPr>
          <w:color w:val="000000" w:themeColor="text1"/>
        </w:rPr>
        <w:t xml:space="preserve"> с 4 стадии ХБП возможно соблюдение контролируемой высококалорийной мало- и низкобе</w:t>
      </w:r>
      <w:r>
        <w:rPr>
          <w:color w:val="000000" w:themeColor="text1"/>
        </w:rPr>
        <w:t xml:space="preserve">лковой диеты (0,3-0,4 г/кг/день) с применением </w:t>
      </w:r>
      <w:proofErr w:type="spellStart"/>
      <w:r>
        <w:rPr>
          <w:color w:val="000000" w:themeColor="text1"/>
        </w:rPr>
        <w:t>кетоаналогов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аминоксилот</w:t>
      </w:r>
      <w:proofErr w:type="spellEnd"/>
      <w:r>
        <w:rPr>
          <w:color w:val="000000" w:themeColor="text1"/>
        </w:rPr>
        <w:t>.</w:t>
      </w:r>
    </w:p>
    <w:p w:rsidR="00D2692F" w:rsidRDefault="00AF3B3B">
      <w:pPr>
        <w:spacing w:before="64" w:line="250" w:lineRule="exact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Также пища должна содержать высококалорийные жиры (моно и полиненасыщенные) и углеводы, если у пациента нет непереносимости углеводов или </w:t>
      </w:r>
      <w:proofErr w:type="spellStart"/>
      <w:r>
        <w:rPr>
          <w:color w:val="000000" w:themeColor="text1"/>
        </w:rPr>
        <w:t>дислипидемии</w:t>
      </w:r>
      <w:proofErr w:type="spellEnd"/>
      <w:r>
        <w:rPr>
          <w:color w:val="000000" w:themeColor="text1"/>
        </w:rPr>
        <w:t xml:space="preserve">, в этих случаях необходима </w:t>
      </w:r>
      <w:r>
        <w:rPr>
          <w:color w:val="000000" w:themeColor="text1"/>
        </w:rPr>
        <w:lastRenderedPageBreak/>
        <w:t>допол</w:t>
      </w:r>
      <w:r>
        <w:rPr>
          <w:color w:val="000000" w:themeColor="text1"/>
        </w:rPr>
        <w:t xml:space="preserve">нительная корректировка рациона. </w:t>
      </w:r>
      <w:proofErr w:type="gramStart"/>
      <w:r>
        <w:rPr>
          <w:color w:val="000000" w:themeColor="text1"/>
        </w:rPr>
        <w:t>Надлежащее количество потребляемого белка для пациентов с ХБП до 4 стадии составляет 0,8 г/кг, 50% должны составлять белки, имеющие высокое биологическое значение, то есть, белки животного происхождения, остальные 50% - дру</w:t>
      </w:r>
      <w:r>
        <w:rPr>
          <w:color w:val="000000" w:themeColor="text1"/>
        </w:rPr>
        <w:t>гие белки, содержащиеся в продуктах питания (белки растительного</w:t>
      </w:r>
      <w:proofErr w:type="gramEnd"/>
    </w:p>
    <w:p w:rsidR="00D2692F" w:rsidRDefault="00AF3B3B">
      <w:pPr>
        <w:spacing w:before="64" w:line="250" w:lineRule="exact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происхождения). Употребление пищи с высоким содержанием белка, а также применение препаратов, вызывающих снижение массы тела, могут оказывать нежелательное действие при наличии ХБП. </w:t>
      </w:r>
    </w:p>
    <w:p w:rsidR="00D2692F" w:rsidRDefault="00AF3B3B">
      <w:pPr>
        <w:spacing w:before="64" w:line="250" w:lineRule="exact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Количест</w:t>
      </w:r>
      <w:r>
        <w:rPr>
          <w:color w:val="000000" w:themeColor="text1"/>
        </w:rPr>
        <w:t>во ежедневно потребляемой соли должно составлять менее 6 г (что эквивалентно 2,4 г натрия). На начальных этапах развития заболевания почек строгое ограничение потребления соли следует применять только для пациентов с ВАД. Также следует соблюдать диету с ог</w:t>
      </w:r>
      <w:r>
        <w:rPr>
          <w:color w:val="000000" w:themeColor="text1"/>
        </w:rPr>
        <w:t>раниченным потреблением калия и фосфора и принимать витамин D. У пациентов с ХБП, находящихся на гемодиализе (ГД), потребление белка может быть увеличено до 1,2 г/кг для достижения надлежащего белкового баланса. При этом следует избегать истощения энергети</w:t>
      </w:r>
      <w:r>
        <w:rPr>
          <w:color w:val="000000" w:themeColor="text1"/>
        </w:rPr>
        <w:t>ческих запасов организма и поддерживать нормальный пищевой статус.</w:t>
      </w:r>
    </w:p>
    <w:p w:rsidR="00D2692F" w:rsidRDefault="00AF3B3B">
      <w:pPr>
        <w:spacing w:before="64" w:line="250" w:lineRule="exact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Алкоголь</w:t>
      </w:r>
    </w:p>
    <w:p w:rsidR="00D2692F" w:rsidRDefault="00AF3B3B">
      <w:pPr>
        <w:spacing w:before="64" w:line="250" w:lineRule="exact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Как и для населения в целом, умеренное употребление алкоголя не считается вредным (примерно 12-14 г спирта, т.е. около 300 мл пива или 150 мл вина). Но следует учитывать не только </w:t>
      </w:r>
      <w:r>
        <w:rPr>
          <w:color w:val="000000" w:themeColor="text1"/>
        </w:rPr>
        <w:t>калорийность алкогольных напитков, но и содержание в них жидкости, сахара, калия, фосфора и натрия, потребление которых следует ограничивать для многих пациентов с учетом сопутствующих факторов риска и степени почечной недостаточности, которую могут вызыва</w:t>
      </w:r>
      <w:r>
        <w:rPr>
          <w:color w:val="000000" w:themeColor="text1"/>
        </w:rPr>
        <w:t>ть эти вещества.</w:t>
      </w:r>
    </w:p>
    <w:p w:rsidR="00D2692F" w:rsidRDefault="00AF3B3B">
      <w:pPr>
        <w:spacing w:before="64" w:line="250" w:lineRule="exact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Определенные терапевтические цели</w:t>
      </w:r>
    </w:p>
    <w:p w:rsidR="00D2692F" w:rsidRDefault="00AF3B3B" w:rsidP="006D76AB">
      <w:pPr>
        <w:spacing w:line="25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Высокое артериальное давление у пациентов с хронической болезнью почек: терапевтические цели </w:t>
      </w:r>
    </w:p>
    <w:p w:rsidR="00D2692F" w:rsidRPr="00AC589E" w:rsidRDefault="00AF3B3B" w:rsidP="00AC589E">
      <w:pPr>
        <w:pStyle w:val="a7"/>
        <w:numPr>
          <w:ilvl w:val="0"/>
          <w:numId w:val="9"/>
        </w:numPr>
        <w:spacing w:line="250" w:lineRule="exact"/>
        <w:ind w:left="0" w:firstLine="709"/>
        <w:jc w:val="both"/>
        <w:rPr>
          <w:color w:val="000000" w:themeColor="text1"/>
        </w:rPr>
      </w:pPr>
      <w:r w:rsidRPr="00AC589E">
        <w:rPr>
          <w:color w:val="000000" w:themeColor="text1"/>
        </w:rPr>
        <w:t xml:space="preserve">У пациентов с ХБП цель применения </w:t>
      </w:r>
      <w:proofErr w:type="spellStart"/>
      <w:r w:rsidRPr="00AC589E">
        <w:rPr>
          <w:color w:val="000000" w:themeColor="text1"/>
        </w:rPr>
        <w:t>противогипертензивной</w:t>
      </w:r>
      <w:proofErr w:type="spellEnd"/>
      <w:r w:rsidRPr="00AC589E">
        <w:rPr>
          <w:color w:val="000000" w:themeColor="text1"/>
        </w:rPr>
        <w:t xml:space="preserve"> терапии имеет три аспекта: снижение АД, снижение риск</w:t>
      </w:r>
      <w:r w:rsidRPr="00AC589E">
        <w:rPr>
          <w:color w:val="000000" w:themeColor="text1"/>
        </w:rPr>
        <w:t xml:space="preserve">а развития </w:t>
      </w:r>
      <w:proofErr w:type="gramStart"/>
      <w:r w:rsidRPr="00AC589E">
        <w:rPr>
          <w:color w:val="000000" w:themeColor="text1"/>
        </w:rPr>
        <w:t>сердечно-сосудистых</w:t>
      </w:r>
      <w:proofErr w:type="gramEnd"/>
      <w:r w:rsidRPr="00AC589E">
        <w:rPr>
          <w:color w:val="000000" w:themeColor="text1"/>
        </w:rPr>
        <w:t xml:space="preserve"> осложнений и замедление прогрессирования ХБП.</w:t>
      </w:r>
    </w:p>
    <w:p w:rsidR="00D2692F" w:rsidRPr="00AC589E" w:rsidRDefault="00AF3B3B" w:rsidP="00AC589E">
      <w:pPr>
        <w:pStyle w:val="a7"/>
        <w:numPr>
          <w:ilvl w:val="0"/>
          <w:numId w:val="9"/>
        </w:numPr>
        <w:spacing w:line="250" w:lineRule="exact"/>
        <w:ind w:left="0" w:firstLine="709"/>
        <w:jc w:val="both"/>
        <w:rPr>
          <w:color w:val="000000" w:themeColor="text1"/>
        </w:rPr>
      </w:pPr>
      <w:r w:rsidRPr="00AC589E">
        <w:rPr>
          <w:color w:val="000000" w:themeColor="text1"/>
        </w:rPr>
        <w:t>У пациентов с ХБП и с отношением</w:t>
      </w:r>
      <w:proofErr w:type="gramStart"/>
      <w:r w:rsidRPr="00AC589E">
        <w:rPr>
          <w:color w:val="000000" w:themeColor="text1"/>
        </w:rPr>
        <w:t xml:space="preserve"> А</w:t>
      </w:r>
      <w:proofErr w:type="gramEnd"/>
      <w:r w:rsidRPr="00AC589E">
        <w:rPr>
          <w:color w:val="000000" w:themeColor="text1"/>
        </w:rPr>
        <w:t>/К &lt;30 мг/г рекомендуется контролировать АД и поддерживать его на целевом уровне 140/90 мм рт. ст. У пациентов с отношением А/К: 30 мг/г рекоме</w:t>
      </w:r>
      <w:r w:rsidRPr="00AC589E">
        <w:rPr>
          <w:color w:val="000000" w:themeColor="text1"/>
        </w:rPr>
        <w:t>ндуется поддерживать АД на целевом уровне .130/80 мм рт. ст. Как при наличии, так и при отсутствии у пациента СД.</w:t>
      </w:r>
    </w:p>
    <w:p w:rsidR="00AC589E" w:rsidRPr="00AC589E" w:rsidRDefault="00AF3B3B" w:rsidP="00AC589E">
      <w:pPr>
        <w:pStyle w:val="a7"/>
        <w:numPr>
          <w:ilvl w:val="0"/>
          <w:numId w:val="9"/>
        </w:numPr>
        <w:spacing w:line="250" w:lineRule="exact"/>
        <w:ind w:left="0" w:firstLine="709"/>
        <w:jc w:val="both"/>
        <w:rPr>
          <w:color w:val="000000" w:themeColor="text1"/>
        </w:rPr>
      </w:pPr>
      <w:r w:rsidRPr="00AC589E">
        <w:rPr>
          <w:color w:val="000000" w:themeColor="text1"/>
        </w:rPr>
        <w:t>Предпочтительными являются препараты, блокирующие функционирование ренин-</w:t>
      </w:r>
      <w:proofErr w:type="spellStart"/>
      <w:r w:rsidRPr="00AC589E">
        <w:rPr>
          <w:color w:val="000000" w:themeColor="text1"/>
        </w:rPr>
        <w:t>ангиотензиновой</w:t>
      </w:r>
      <w:proofErr w:type="spellEnd"/>
      <w:r w:rsidRPr="00AC589E">
        <w:rPr>
          <w:color w:val="000000" w:themeColor="text1"/>
        </w:rPr>
        <w:t xml:space="preserve"> системы, ИАПФ или БРА. </w:t>
      </w:r>
    </w:p>
    <w:p w:rsidR="00D2692F" w:rsidRPr="00AC589E" w:rsidRDefault="00AF3B3B" w:rsidP="00AC589E">
      <w:pPr>
        <w:pStyle w:val="a7"/>
        <w:numPr>
          <w:ilvl w:val="0"/>
          <w:numId w:val="9"/>
        </w:numPr>
        <w:spacing w:line="250" w:lineRule="exact"/>
        <w:ind w:left="0" w:firstLine="709"/>
        <w:jc w:val="both"/>
        <w:rPr>
          <w:color w:val="000000" w:themeColor="text1"/>
        </w:rPr>
      </w:pPr>
      <w:r w:rsidRPr="00AC589E">
        <w:rPr>
          <w:color w:val="000000" w:themeColor="text1"/>
        </w:rPr>
        <w:t>Для достижения надлежащего</w:t>
      </w:r>
      <w:r w:rsidRPr="00AC589E">
        <w:rPr>
          <w:color w:val="000000" w:themeColor="text1"/>
        </w:rPr>
        <w:t xml:space="preserve"> контроля рекомендуется </w:t>
      </w:r>
      <w:r w:rsidRPr="00AC589E">
        <w:rPr>
          <w:color w:val="000000" w:themeColor="text1"/>
        </w:rPr>
        <w:lastRenderedPageBreak/>
        <w:t xml:space="preserve">использовать комбинации </w:t>
      </w:r>
      <w:proofErr w:type="spellStart"/>
      <w:r w:rsidRPr="00AC589E">
        <w:rPr>
          <w:color w:val="000000" w:themeColor="text1"/>
        </w:rPr>
        <w:t>противогипертензивных</w:t>
      </w:r>
      <w:proofErr w:type="spellEnd"/>
      <w:r w:rsidRPr="00AC589E">
        <w:rPr>
          <w:color w:val="000000" w:themeColor="text1"/>
        </w:rPr>
        <w:t xml:space="preserve"> препаратов. В зависимости от степени тяжести ХБП такие комбинации должны включать </w:t>
      </w:r>
      <w:proofErr w:type="spellStart"/>
      <w:r w:rsidRPr="00AC589E">
        <w:rPr>
          <w:color w:val="000000" w:themeColor="text1"/>
        </w:rPr>
        <w:t>тиазидный</w:t>
      </w:r>
      <w:proofErr w:type="spellEnd"/>
      <w:r w:rsidRPr="00AC589E">
        <w:rPr>
          <w:color w:val="000000" w:themeColor="text1"/>
        </w:rPr>
        <w:t xml:space="preserve"> или петлевой диуретик.</w:t>
      </w:r>
    </w:p>
    <w:p w:rsidR="00D2692F" w:rsidRDefault="00AF3B3B">
      <w:pPr>
        <w:spacing w:before="64" w:line="250" w:lineRule="exact"/>
        <w:ind w:firstLine="72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Лечение гипергликемии при хронической болезни почек</w:t>
      </w:r>
    </w:p>
    <w:p w:rsidR="00D2692F" w:rsidRDefault="00AF3B3B" w:rsidP="006D76AB">
      <w:pPr>
        <w:spacing w:line="25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Терапевтические цел</w:t>
      </w:r>
      <w:r>
        <w:rPr>
          <w:color w:val="000000" w:themeColor="text1"/>
        </w:rPr>
        <w:t>и</w:t>
      </w:r>
    </w:p>
    <w:p w:rsidR="00D2692F" w:rsidRDefault="00AF3B3B" w:rsidP="006D76AB">
      <w:pPr>
        <w:spacing w:line="25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Как оценивать метаболический контроль?</w:t>
      </w:r>
    </w:p>
    <w:p w:rsidR="00D2692F" w:rsidRDefault="00AF3B3B" w:rsidP="00AC589E">
      <w:pPr>
        <w:spacing w:line="250" w:lineRule="exact"/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Гликозилированный</w:t>
      </w:r>
      <w:proofErr w:type="spellEnd"/>
      <w:r>
        <w:rPr>
          <w:color w:val="000000" w:themeColor="text1"/>
        </w:rPr>
        <w:t xml:space="preserve"> гемоглобин А1С (HbA1C) – это основной показатель, используемый для оценки метаболического контроля у пациентов с хронической почечной недостаточностью (ХПН). Следует помнить, что существуют факторы</w:t>
      </w:r>
      <w:r>
        <w:rPr>
          <w:color w:val="000000" w:themeColor="text1"/>
        </w:rPr>
        <w:t>, ограничивающие возможность использования этого показателя в качестве маркера гликемического контроля, такие как</w:t>
      </w:r>
      <w:r w:rsidR="00AC589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переливание крови или лечение </w:t>
      </w:r>
      <w:proofErr w:type="spellStart"/>
      <w:r>
        <w:rPr>
          <w:color w:val="000000" w:themeColor="text1"/>
        </w:rPr>
        <w:t>эритропоэтином</w:t>
      </w:r>
      <w:proofErr w:type="spellEnd"/>
      <w:r>
        <w:rPr>
          <w:color w:val="000000" w:themeColor="text1"/>
        </w:rPr>
        <w:t xml:space="preserve">. </w:t>
      </w:r>
    </w:p>
    <w:p w:rsidR="00D2692F" w:rsidRPr="00AC589E" w:rsidRDefault="00AF3B3B" w:rsidP="006D76AB">
      <w:pPr>
        <w:spacing w:line="250" w:lineRule="exact"/>
        <w:ind w:firstLine="709"/>
        <w:jc w:val="center"/>
        <w:rPr>
          <w:b/>
          <w:color w:val="000000" w:themeColor="text1"/>
        </w:rPr>
      </w:pPr>
      <w:r w:rsidRPr="00AC589E">
        <w:rPr>
          <w:b/>
          <w:color w:val="000000" w:themeColor="text1"/>
        </w:rPr>
        <w:t>Цели контроля гликемии</w:t>
      </w:r>
    </w:p>
    <w:p w:rsidR="00D2692F" w:rsidRDefault="00AF3B3B" w:rsidP="006D76AB">
      <w:pPr>
        <w:spacing w:line="25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клинических руководствах указано, что у пациентов с сахарным диабетом,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развившимся</w:t>
      </w:r>
      <w:proofErr w:type="spellEnd"/>
      <w:r>
        <w:rPr>
          <w:color w:val="000000" w:themeColor="text1"/>
        </w:rPr>
        <w:t xml:space="preserve"> относительно недавно, без снижения ожидаемой продолжительности жизни рекомендуемый целевой уровень HbA1C составляет &lt;7 (&lt;53 </w:t>
      </w:r>
      <w:proofErr w:type="spellStart"/>
      <w:r>
        <w:rPr>
          <w:color w:val="000000" w:themeColor="text1"/>
        </w:rPr>
        <w:t>ммоль</w:t>
      </w:r>
      <w:proofErr w:type="spellEnd"/>
      <w:r>
        <w:rPr>
          <w:color w:val="000000" w:themeColor="text1"/>
        </w:rPr>
        <w:t>/моль).  Для пациентов, страдающих СД в течение долгого времени, у которых ранее контроль гликемии был недостаточн</w:t>
      </w:r>
      <w:r>
        <w:rPr>
          <w:color w:val="000000" w:themeColor="text1"/>
        </w:rPr>
        <w:t>ым, или у которых имеют место условия, снижающие ожидаемую продолжительность жизни, целевой уровень HbA1C следует устанавливать строго индивидуально, избегая использования терапевтических стратегий, сопряженных с недопустимым увеличением риска гипогликемии</w:t>
      </w:r>
      <w:r>
        <w:rPr>
          <w:color w:val="000000" w:themeColor="text1"/>
        </w:rPr>
        <w:t xml:space="preserve">. </w:t>
      </w:r>
    </w:p>
    <w:p w:rsidR="00D2692F" w:rsidRDefault="00AF3B3B" w:rsidP="006D76AB">
      <w:pPr>
        <w:spacing w:line="25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 текущий момент отсутствуют данные о том, какой уровень HbA1C оптимален для пациентов, находящихся на диализе. Следует учитывать, что у пациентов с почечной недостаточностью, получающих интенсивное лечение, риск развития тяжелой гипогликемии очень выс</w:t>
      </w:r>
      <w:r>
        <w:rPr>
          <w:color w:val="000000" w:themeColor="text1"/>
        </w:rPr>
        <w:t>ок и увеличивается при снижении количества потребляемой пищи, при изменении времени приема пищи и при наличии вегетативной невропатии.</w:t>
      </w:r>
    </w:p>
    <w:p w:rsidR="00D2692F" w:rsidRPr="00AC589E" w:rsidRDefault="00AF3B3B" w:rsidP="006D76AB">
      <w:pPr>
        <w:spacing w:line="250" w:lineRule="exact"/>
        <w:ind w:firstLine="709"/>
        <w:jc w:val="center"/>
        <w:rPr>
          <w:b/>
          <w:color w:val="000000" w:themeColor="text1"/>
        </w:rPr>
      </w:pPr>
      <w:r w:rsidRPr="00AC589E">
        <w:rPr>
          <w:b/>
          <w:color w:val="000000" w:themeColor="text1"/>
        </w:rPr>
        <w:t>Курение</w:t>
      </w:r>
    </w:p>
    <w:p w:rsidR="00D2692F" w:rsidRDefault="00AF3B3B" w:rsidP="00AC589E">
      <w:pPr>
        <w:spacing w:line="25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Курение – это один из факторов, непосредственно вызывающих прогрессирование заболевания почек. Опубликованы данны</w:t>
      </w:r>
      <w:r>
        <w:rPr>
          <w:color w:val="000000" w:themeColor="text1"/>
        </w:rPr>
        <w:t xml:space="preserve">е, демонстрирующие связь между этой привычкой и ухудшением функции почек у населения в целом (исследование MRIFT), исследование </w:t>
      </w:r>
      <w:proofErr w:type="spellStart"/>
      <w:r>
        <w:rPr>
          <w:color w:val="000000" w:themeColor="text1"/>
        </w:rPr>
        <w:t>Briganti</w:t>
      </w:r>
      <w:proofErr w:type="spellEnd"/>
      <w:r>
        <w:rPr>
          <w:color w:val="000000" w:themeColor="text1"/>
        </w:rPr>
        <w:t xml:space="preserve"> с соавторами  и у диабетиков. Таким образом, при консультировании всех пациентов с ХБП (как и при консультировании любы</w:t>
      </w:r>
      <w:r>
        <w:rPr>
          <w:color w:val="000000" w:themeColor="text1"/>
        </w:rPr>
        <w:t>х других пациентов) необходимо спрашивать, употребляет ли пациент табак (как при обращении пациента к терапевту, так и при приеме у специализированного врача). Курящим пациентам следует давать эмпатический, но настоятельный и мотивирующий совет, побуждающи</w:t>
      </w:r>
      <w:r>
        <w:rPr>
          <w:color w:val="000000" w:themeColor="text1"/>
        </w:rPr>
        <w:t xml:space="preserve">й </w:t>
      </w:r>
      <w:r>
        <w:rPr>
          <w:color w:val="000000" w:themeColor="text1"/>
        </w:rPr>
        <w:lastRenderedPageBreak/>
        <w:t xml:space="preserve">бросить курить. Необходимо подчеркивать индивидуальные преимущества отказа от курения и использовать доступные средства, чтобы помочь пациенту достичь этого (систематическое минимальное вмешательство, </w:t>
      </w:r>
      <w:proofErr w:type="spellStart"/>
      <w:r>
        <w:rPr>
          <w:color w:val="000000" w:themeColor="text1"/>
        </w:rPr>
        <w:t>когнитивно</w:t>
      </w:r>
      <w:proofErr w:type="spellEnd"/>
      <w:r>
        <w:rPr>
          <w:color w:val="000000" w:themeColor="text1"/>
        </w:rPr>
        <w:t xml:space="preserve">-поведенческие методики, фармакологическое </w:t>
      </w:r>
      <w:r>
        <w:rPr>
          <w:color w:val="000000" w:themeColor="text1"/>
        </w:rPr>
        <w:t xml:space="preserve">лечение и т.д.). </w:t>
      </w:r>
    </w:p>
    <w:p w:rsidR="00D2692F" w:rsidRDefault="00AF3B3B" w:rsidP="00AC589E">
      <w:pPr>
        <w:spacing w:line="250" w:lineRule="exact"/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Для пациентов с заболеванием почек применение никотин-заместительной терапии (пластыри, жевательная резинка, конфеты), а также комбинации этих средств с низкими (ниже нормальной) дозами </w:t>
      </w:r>
      <w:proofErr w:type="spellStart"/>
      <w:r>
        <w:rPr>
          <w:color w:val="000000" w:themeColor="text1"/>
        </w:rPr>
        <w:t>бупропиона</w:t>
      </w:r>
      <w:proofErr w:type="spellEnd"/>
      <w:r>
        <w:rPr>
          <w:color w:val="000000" w:themeColor="text1"/>
        </w:rPr>
        <w:t xml:space="preserve"> (150 мг/ 24 ч) на поздних стадиях заболев</w:t>
      </w:r>
      <w:r>
        <w:rPr>
          <w:color w:val="000000" w:themeColor="text1"/>
        </w:rPr>
        <w:t xml:space="preserve">ания, </w:t>
      </w:r>
      <w:proofErr w:type="spellStart"/>
      <w:r>
        <w:rPr>
          <w:color w:val="000000" w:themeColor="text1"/>
        </w:rPr>
        <w:t>повидимому</w:t>
      </w:r>
      <w:proofErr w:type="spellEnd"/>
      <w:r>
        <w:rPr>
          <w:color w:val="000000" w:themeColor="text1"/>
        </w:rPr>
        <w:t>, является безопасным.</w:t>
      </w:r>
      <w:proofErr w:type="gramEnd"/>
      <w:r>
        <w:rPr>
          <w:color w:val="000000" w:themeColor="text1"/>
        </w:rPr>
        <w:t xml:space="preserve"> Также для пациентов со средне выраженным снижением почечной функции и для общей популяции безопасно применение </w:t>
      </w:r>
      <w:proofErr w:type="spellStart"/>
      <w:r>
        <w:rPr>
          <w:color w:val="000000" w:themeColor="text1"/>
        </w:rPr>
        <w:t>варениклина</w:t>
      </w:r>
      <w:proofErr w:type="spellEnd"/>
      <w:r>
        <w:rPr>
          <w:color w:val="000000" w:themeColor="text1"/>
        </w:rPr>
        <w:t xml:space="preserve"> в нормальной дозе или в половинной дозе (1мг/ 24 ч) в комбинации с </w:t>
      </w:r>
      <w:proofErr w:type="spellStart"/>
      <w:r>
        <w:rPr>
          <w:color w:val="000000" w:themeColor="text1"/>
        </w:rPr>
        <w:t>бупропионом</w:t>
      </w:r>
      <w:proofErr w:type="spellEnd"/>
      <w:r>
        <w:rPr>
          <w:color w:val="000000" w:themeColor="text1"/>
        </w:rPr>
        <w:t>.</w:t>
      </w:r>
    </w:p>
    <w:p w:rsidR="00D2692F" w:rsidRPr="00AC589E" w:rsidRDefault="00AF3B3B" w:rsidP="00AC589E">
      <w:pPr>
        <w:spacing w:line="250" w:lineRule="exact"/>
        <w:ind w:firstLine="709"/>
        <w:jc w:val="center"/>
        <w:rPr>
          <w:b/>
          <w:color w:val="000000" w:themeColor="text1"/>
        </w:rPr>
      </w:pPr>
      <w:r w:rsidRPr="00AC589E">
        <w:rPr>
          <w:b/>
          <w:color w:val="000000" w:themeColor="text1"/>
        </w:rPr>
        <w:t>Ожирение</w:t>
      </w:r>
    </w:p>
    <w:p w:rsidR="00D2692F" w:rsidRDefault="00AF3B3B" w:rsidP="00AC589E">
      <w:pPr>
        <w:spacing w:line="25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Специ</w:t>
      </w:r>
      <w:r>
        <w:rPr>
          <w:color w:val="000000" w:themeColor="text1"/>
        </w:rPr>
        <w:t xml:space="preserve">альных клинических исследований, посвященных изучению этого вопроса, проводилось очень мало, но существуют данные, подтверждающие, что снижение массы тела и потребления жира может уменьшить риск развития ХБП. </w:t>
      </w:r>
      <w:proofErr w:type="gramStart"/>
      <w:r>
        <w:rPr>
          <w:color w:val="000000" w:themeColor="text1"/>
        </w:rPr>
        <w:t xml:space="preserve">Лечение ожирения у пациентов с ХБП должно быть </w:t>
      </w:r>
      <w:r>
        <w:rPr>
          <w:color w:val="000000" w:themeColor="text1"/>
        </w:rPr>
        <w:t>нефармакологическим и состоять в физических упражнениях и в соблюдении диетических рекомендаций, приведенными в соответствующих разделах настоящего руководства.</w:t>
      </w:r>
      <w:proofErr w:type="gramEnd"/>
      <w:r>
        <w:rPr>
          <w:color w:val="000000" w:themeColor="text1"/>
        </w:rPr>
        <w:t xml:space="preserve"> Для пациентов с ХБП противопоказаны лекарственные средства, снижающие аппетит.</w:t>
      </w:r>
    </w:p>
    <w:p w:rsidR="00D2692F" w:rsidRDefault="00AF3B3B" w:rsidP="00AC589E">
      <w:pPr>
        <w:spacing w:line="250" w:lineRule="exact"/>
        <w:ind w:firstLine="709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Наблюдение за па</w:t>
      </w:r>
      <w:r>
        <w:rPr>
          <w:b/>
          <w:bCs/>
          <w:color w:val="000000" w:themeColor="text1"/>
        </w:rPr>
        <w:t>циентами</w:t>
      </w:r>
    </w:p>
    <w:p w:rsidR="00D2692F" w:rsidRDefault="00AF3B3B" w:rsidP="00AC589E">
      <w:pPr>
        <w:spacing w:line="25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Наблюдение за пациентами с 4-5 стадией ХБП должен осуществлять преимущественно специалист-нефролог в тесном сотрудничестве с лечащим врачом-терапевтом и с сестринским персоналом. Частота визитов должна составлять один раз в три месяца при 4 стадии</w:t>
      </w:r>
      <w:r>
        <w:rPr>
          <w:color w:val="000000" w:themeColor="text1"/>
        </w:rPr>
        <w:t xml:space="preserve"> ХБП и один раз в месяц при </w:t>
      </w:r>
      <w:proofErr w:type="spellStart"/>
      <w:r>
        <w:rPr>
          <w:color w:val="000000" w:themeColor="text1"/>
        </w:rPr>
        <w:t>преддиализной</w:t>
      </w:r>
      <w:proofErr w:type="spellEnd"/>
      <w:r>
        <w:rPr>
          <w:color w:val="000000" w:themeColor="text1"/>
        </w:rPr>
        <w:t xml:space="preserve"> 5 стадии ХБП. Врач может изменить указанную частоту визитов по своему усмотрению. </w:t>
      </w:r>
    </w:p>
    <w:p w:rsidR="00D2692F" w:rsidRDefault="00AF3B3B" w:rsidP="00AC589E">
      <w:pPr>
        <w:spacing w:line="25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Во время каждого визита рекомендуется предоставлять пациенту подробную информацию о проводимых лабораторных анализах, об изменении </w:t>
      </w:r>
      <w:r>
        <w:rPr>
          <w:color w:val="000000" w:themeColor="text1"/>
        </w:rPr>
        <w:t>лечения, его обосновании и, по возможности, о прогностических оценках.</w:t>
      </w:r>
    </w:p>
    <w:p w:rsidR="00D2692F" w:rsidRDefault="00AF3B3B" w:rsidP="006D76AB">
      <w:pPr>
        <w:spacing w:line="250" w:lineRule="exact"/>
        <w:ind w:firstLine="709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ЗАДАЧИ, ВЫПОЛНЯЕМЫЕ ЛЕЧАЩИМ ВРАЧОМ-ТЕРАПЕВТОМ ПРИ НАБЛЮДЕНИИ ЗА ПАЦИЕНТАМИ С ХРОНИЧЕСКОЙ БОЛЕЗНЬЮ ПОЧЕК В ЗАВИСИМОСТИ ОТ СТАДИИ ЗАБОЛЕВАНИЯ</w:t>
      </w:r>
    </w:p>
    <w:p w:rsidR="00D2692F" w:rsidRPr="00AC589E" w:rsidRDefault="00AF3B3B" w:rsidP="007A426D">
      <w:pPr>
        <w:pStyle w:val="a7"/>
        <w:numPr>
          <w:ilvl w:val="0"/>
          <w:numId w:val="10"/>
        </w:numPr>
        <w:spacing w:line="250" w:lineRule="exact"/>
        <w:ind w:left="0" w:firstLine="709"/>
        <w:jc w:val="both"/>
        <w:rPr>
          <w:color w:val="000000" w:themeColor="text1"/>
        </w:rPr>
      </w:pPr>
      <w:r w:rsidRPr="00AC589E">
        <w:rPr>
          <w:color w:val="000000" w:themeColor="text1"/>
        </w:rPr>
        <w:t>Наблюдение за пожилыми пациентами со стаби</w:t>
      </w:r>
      <w:r w:rsidRPr="00AC589E">
        <w:rPr>
          <w:color w:val="000000" w:themeColor="text1"/>
        </w:rPr>
        <w:t xml:space="preserve">льной СКФ, которые по причине возраста, с целью сохранения качества жизни или по каким-либо другим причинам не получают ЗПТ, ПСЭ и/или препараты, предназначенные для лечения вторичного </w:t>
      </w:r>
      <w:proofErr w:type="spellStart"/>
      <w:r w:rsidRPr="00AC589E">
        <w:rPr>
          <w:color w:val="000000" w:themeColor="text1"/>
        </w:rPr>
        <w:t>гиперпаратиреоза</w:t>
      </w:r>
      <w:proofErr w:type="spellEnd"/>
      <w:r w:rsidRPr="00AC589E">
        <w:rPr>
          <w:color w:val="000000" w:themeColor="text1"/>
        </w:rPr>
        <w:t>.</w:t>
      </w:r>
    </w:p>
    <w:p w:rsidR="00D2692F" w:rsidRDefault="00AF3B3B" w:rsidP="007A426D">
      <w:pPr>
        <w:spacing w:line="25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Контроль факторов </w:t>
      </w:r>
      <w:proofErr w:type="gramStart"/>
      <w:r>
        <w:rPr>
          <w:color w:val="000000" w:themeColor="text1"/>
        </w:rPr>
        <w:t>сердечно-сосудистого</w:t>
      </w:r>
      <w:proofErr w:type="gramEnd"/>
      <w:r>
        <w:rPr>
          <w:color w:val="000000" w:themeColor="text1"/>
        </w:rPr>
        <w:t xml:space="preserve"> риска.</w:t>
      </w:r>
    </w:p>
    <w:p w:rsidR="00D2692F" w:rsidRDefault="00AF3B3B" w:rsidP="007A426D">
      <w:pPr>
        <w:spacing w:line="25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Мониторинг факторов прогрессирования ХБП.</w:t>
      </w:r>
    </w:p>
    <w:p w:rsidR="00D2692F" w:rsidRDefault="00AF3B3B" w:rsidP="007A426D">
      <w:pPr>
        <w:spacing w:line="25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Мониторинг токсичного воздействия на почки, с целью избежать ятрогении </w:t>
      </w:r>
      <w:proofErr w:type="spellStart"/>
      <w:r>
        <w:rPr>
          <w:color w:val="000000" w:themeColor="text1"/>
        </w:rPr>
        <w:t>прикакомлибо</w:t>
      </w:r>
      <w:proofErr w:type="spellEnd"/>
      <w:r>
        <w:rPr>
          <w:color w:val="000000" w:themeColor="text1"/>
        </w:rPr>
        <w:t xml:space="preserve"> процессе.</w:t>
      </w:r>
    </w:p>
    <w:p w:rsidR="00D2692F" w:rsidRPr="007A426D" w:rsidRDefault="00AF3B3B" w:rsidP="007A426D">
      <w:pPr>
        <w:pStyle w:val="a7"/>
        <w:numPr>
          <w:ilvl w:val="0"/>
          <w:numId w:val="10"/>
        </w:numPr>
        <w:spacing w:line="250" w:lineRule="exact"/>
        <w:ind w:left="0" w:firstLine="709"/>
        <w:jc w:val="both"/>
        <w:rPr>
          <w:b/>
          <w:bCs/>
          <w:color w:val="000000" w:themeColor="text1"/>
        </w:rPr>
      </w:pPr>
      <w:r w:rsidRPr="007A426D">
        <w:rPr>
          <w:b/>
          <w:bCs/>
          <w:color w:val="000000" w:themeColor="text1"/>
        </w:rPr>
        <w:t>Особое внимание следует уделять тому, чтобы:</w:t>
      </w:r>
    </w:p>
    <w:p w:rsidR="00D2692F" w:rsidRDefault="00AF3B3B" w:rsidP="007A426D">
      <w:pPr>
        <w:spacing w:line="25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­ по возможности воздерживаться от использования НПВС;</w:t>
      </w:r>
    </w:p>
    <w:p w:rsidR="00D2692F" w:rsidRDefault="00AF3B3B" w:rsidP="007A426D">
      <w:pPr>
        <w:spacing w:line="25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­ избегать </w:t>
      </w:r>
      <w:proofErr w:type="spellStart"/>
      <w:r>
        <w:rPr>
          <w:color w:val="000000" w:themeColor="text1"/>
        </w:rPr>
        <w:t>гиперк</w:t>
      </w:r>
      <w:r>
        <w:rPr>
          <w:color w:val="000000" w:themeColor="text1"/>
        </w:rPr>
        <w:t>алиемии</w:t>
      </w:r>
      <w:proofErr w:type="spellEnd"/>
      <w:r>
        <w:rPr>
          <w:color w:val="000000" w:themeColor="text1"/>
        </w:rPr>
        <w:t xml:space="preserve">, </w:t>
      </w:r>
      <w:proofErr w:type="gramStart"/>
      <w:r>
        <w:rPr>
          <w:color w:val="000000" w:themeColor="text1"/>
        </w:rPr>
        <w:t>обусловленной</w:t>
      </w:r>
      <w:proofErr w:type="gramEnd"/>
      <w:r>
        <w:rPr>
          <w:color w:val="000000" w:themeColor="text1"/>
        </w:rPr>
        <w:t xml:space="preserve"> применением лекарственных</w:t>
      </w:r>
    </w:p>
    <w:p w:rsidR="00D2692F" w:rsidRDefault="00AF3B3B" w:rsidP="007A426D">
      <w:pPr>
        <w:spacing w:line="25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препаратов;</w:t>
      </w:r>
    </w:p>
    <w:p w:rsidR="00D2692F" w:rsidRDefault="00AF3B3B" w:rsidP="007A426D">
      <w:pPr>
        <w:spacing w:line="25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­ избегать применения противодиабетических препаратов, вводимых перорально, либо корректировать их дозу в соответствии со значениями </w:t>
      </w:r>
      <w:proofErr w:type="spellStart"/>
      <w:r>
        <w:rPr>
          <w:color w:val="000000" w:themeColor="text1"/>
        </w:rPr>
        <w:t>рСКФ</w:t>
      </w:r>
      <w:proofErr w:type="spellEnd"/>
      <w:r>
        <w:rPr>
          <w:color w:val="000000" w:themeColor="text1"/>
        </w:rPr>
        <w:t>;</w:t>
      </w:r>
    </w:p>
    <w:p w:rsidR="00D2692F" w:rsidRDefault="00AF3B3B" w:rsidP="007A426D">
      <w:pPr>
        <w:spacing w:line="25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­ настолько, насколько </w:t>
      </w:r>
      <w:proofErr w:type="gramStart"/>
      <w:r>
        <w:rPr>
          <w:color w:val="000000" w:themeColor="text1"/>
        </w:rPr>
        <w:t>это</w:t>
      </w:r>
      <w:proofErr w:type="gramEnd"/>
      <w:r>
        <w:rPr>
          <w:color w:val="000000" w:themeColor="text1"/>
        </w:rPr>
        <w:t xml:space="preserve"> возможно, избегать использова</w:t>
      </w:r>
      <w:r>
        <w:rPr>
          <w:color w:val="000000" w:themeColor="text1"/>
        </w:rPr>
        <w:t xml:space="preserve">ния йодсодержащих контрастов и корректировать дозы применяемых препаратов с учетом значений </w:t>
      </w:r>
      <w:proofErr w:type="spellStart"/>
      <w:r>
        <w:rPr>
          <w:color w:val="000000" w:themeColor="text1"/>
        </w:rPr>
        <w:t>рСКФ</w:t>
      </w:r>
      <w:proofErr w:type="spellEnd"/>
      <w:r>
        <w:rPr>
          <w:color w:val="000000" w:themeColor="text1"/>
        </w:rPr>
        <w:t xml:space="preserve"> пациента.</w:t>
      </w:r>
    </w:p>
    <w:p w:rsidR="00D2692F" w:rsidRPr="007A426D" w:rsidRDefault="00AF3B3B" w:rsidP="007A426D">
      <w:pPr>
        <w:pStyle w:val="a7"/>
        <w:numPr>
          <w:ilvl w:val="0"/>
          <w:numId w:val="10"/>
        </w:numPr>
        <w:spacing w:line="250" w:lineRule="exact"/>
        <w:ind w:left="0" w:firstLine="709"/>
        <w:jc w:val="both"/>
        <w:rPr>
          <w:color w:val="000000" w:themeColor="text1"/>
        </w:rPr>
      </w:pPr>
      <w:r w:rsidRPr="007A426D">
        <w:rPr>
          <w:color w:val="000000" w:themeColor="text1"/>
        </w:rPr>
        <w:t xml:space="preserve">Участие в терапевтическом сотрудничестве и направление пациента к нефрологу </w:t>
      </w:r>
      <w:proofErr w:type="spellStart"/>
      <w:r w:rsidRPr="007A426D">
        <w:rPr>
          <w:color w:val="000000" w:themeColor="text1"/>
        </w:rPr>
        <w:t>вслучае</w:t>
      </w:r>
      <w:proofErr w:type="spellEnd"/>
      <w:r w:rsidRPr="007A426D">
        <w:rPr>
          <w:color w:val="000000" w:themeColor="text1"/>
        </w:rPr>
        <w:t xml:space="preserve"> острого ухудшения функции почек или при возникновении осложнени</w:t>
      </w:r>
      <w:r w:rsidRPr="007A426D">
        <w:rPr>
          <w:color w:val="000000" w:themeColor="text1"/>
        </w:rPr>
        <w:t xml:space="preserve">й. </w:t>
      </w:r>
    </w:p>
    <w:p w:rsidR="007A426D" w:rsidRDefault="00AF3B3B" w:rsidP="007A426D">
      <w:pPr>
        <w:pStyle w:val="a7"/>
        <w:numPr>
          <w:ilvl w:val="0"/>
          <w:numId w:val="10"/>
        </w:numPr>
        <w:spacing w:line="250" w:lineRule="exact"/>
        <w:ind w:left="0" w:firstLine="709"/>
        <w:jc w:val="both"/>
        <w:rPr>
          <w:color w:val="000000" w:themeColor="text1"/>
        </w:rPr>
      </w:pPr>
      <w:r w:rsidRPr="007A426D">
        <w:rPr>
          <w:color w:val="000000" w:themeColor="text1"/>
        </w:rPr>
        <w:t>Осуществление вакцинации пациентов против вируса гепатита</w:t>
      </w:r>
      <w:proofErr w:type="gramStart"/>
      <w:r w:rsidRPr="007A426D">
        <w:rPr>
          <w:color w:val="000000" w:themeColor="text1"/>
        </w:rPr>
        <w:t xml:space="preserve"> В</w:t>
      </w:r>
      <w:proofErr w:type="gramEnd"/>
      <w:r w:rsidRPr="007A426D">
        <w:rPr>
          <w:color w:val="000000" w:themeColor="text1"/>
        </w:rPr>
        <w:t>, пневмококковой и</w:t>
      </w:r>
      <w:r w:rsidR="007A426D">
        <w:rPr>
          <w:color w:val="000000" w:themeColor="text1"/>
        </w:rPr>
        <w:t xml:space="preserve">нфекции, вируса гриппа и т.д. </w:t>
      </w:r>
    </w:p>
    <w:p w:rsidR="00D2692F" w:rsidRPr="007A426D" w:rsidRDefault="00AF3B3B" w:rsidP="007A426D">
      <w:pPr>
        <w:pStyle w:val="a7"/>
        <w:numPr>
          <w:ilvl w:val="0"/>
          <w:numId w:val="10"/>
        </w:numPr>
        <w:spacing w:line="250" w:lineRule="exact"/>
        <w:ind w:left="0" w:firstLine="709"/>
        <w:jc w:val="both"/>
        <w:rPr>
          <w:color w:val="000000" w:themeColor="text1"/>
        </w:rPr>
      </w:pPr>
      <w:r w:rsidRPr="007A426D">
        <w:rPr>
          <w:color w:val="000000" w:themeColor="text1"/>
        </w:rPr>
        <w:t>Сотрудничество по осуществлению паллиативного лечения.</w:t>
      </w:r>
    </w:p>
    <w:p w:rsidR="00D2692F" w:rsidRDefault="00D2692F" w:rsidP="006D76AB">
      <w:pPr>
        <w:spacing w:line="250" w:lineRule="exact"/>
        <w:ind w:firstLine="709"/>
        <w:jc w:val="both"/>
        <w:rPr>
          <w:color w:val="000000" w:themeColor="text1"/>
        </w:rPr>
      </w:pPr>
    </w:p>
    <w:p w:rsidR="00D2692F" w:rsidRDefault="00D2692F">
      <w:pPr>
        <w:spacing w:before="64" w:line="250" w:lineRule="exact"/>
        <w:jc w:val="both"/>
        <w:rPr>
          <w:color w:val="000000" w:themeColor="text1"/>
        </w:rPr>
      </w:pPr>
    </w:p>
    <w:p w:rsidR="00D2692F" w:rsidRDefault="00D2692F">
      <w:pPr>
        <w:spacing w:before="64" w:line="250" w:lineRule="exact"/>
        <w:jc w:val="both"/>
        <w:rPr>
          <w:color w:val="000000" w:themeColor="text1"/>
        </w:rPr>
      </w:pPr>
    </w:p>
    <w:p w:rsidR="00D2692F" w:rsidRDefault="00D2692F">
      <w:pPr>
        <w:spacing w:before="64" w:line="250" w:lineRule="exact"/>
        <w:jc w:val="both"/>
        <w:rPr>
          <w:color w:val="000000" w:themeColor="text1"/>
        </w:rPr>
      </w:pPr>
    </w:p>
    <w:p w:rsidR="00D2692F" w:rsidRDefault="00D2692F">
      <w:pPr>
        <w:spacing w:before="64" w:line="250" w:lineRule="exact"/>
        <w:jc w:val="both"/>
        <w:rPr>
          <w:color w:val="000000" w:themeColor="text1"/>
        </w:rPr>
      </w:pPr>
    </w:p>
    <w:p w:rsidR="00D2692F" w:rsidRDefault="00D2692F">
      <w:pPr>
        <w:spacing w:before="64" w:line="250" w:lineRule="exact"/>
        <w:jc w:val="both"/>
        <w:rPr>
          <w:color w:val="000000" w:themeColor="text1"/>
        </w:rPr>
      </w:pPr>
    </w:p>
    <w:p w:rsidR="00D2692F" w:rsidRDefault="00D2692F">
      <w:pPr>
        <w:spacing w:before="64" w:line="250" w:lineRule="exact"/>
        <w:jc w:val="both"/>
        <w:rPr>
          <w:color w:val="000000" w:themeColor="text1"/>
        </w:rPr>
      </w:pPr>
    </w:p>
    <w:p w:rsidR="00D2692F" w:rsidRDefault="00D2692F">
      <w:pPr>
        <w:spacing w:before="64" w:line="250" w:lineRule="exact"/>
        <w:jc w:val="both"/>
        <w:rPr>
          <w:color w:val="000000" w:themeColor="text1"/>
        </w:rPr>
      </w:pPr>
    </w:p>
    <w:p w:rsidR="00D2692F" w:rsidRDefault="00D2692F">
      <w:pPr>
        <w:spacing w:before="64" w:line="250" w:lineRule="exact"/>
        <w:jc w:val="both"/>
        <w:rPr>
          <w:color w:val="000000" w:themeColor="text1"/>
        </w:rPr>
      </w:pPr>
    </w:p>
    <w:p w:rsidR="00D2692F" w:rsidRDefault="00D2692F">
      <w:pPr>
        <w:spacing w:before="64" w:line="250" w:lineRule="exact"/>
        <w:jc w:val="both"/>
        <w:rPr>
          <w:color w:val="000000" w:themeColor="text1"/>
        </w:rPr>
      </w:pPr>
    </w:p>
    <w:p w:rsidR="00D2692F" w:rsidRDefault="00D2692F">
      <w:pPr>
        <w:spacing w:before="64" w:line="250" w:lineRule="exact"/>
        <w:jc w:val="both"/>
        <w:rPr>
          <w:color w:val="000000" w:themeColor="text1"/>
        </w:rPr>
      </w:pPr>
    </w:p>
    <w:p w:rsidR="00D2692F" w:rsidRDefault="00D2692F">
      <w:pPr>
        <w:spacing w:before="64" w:line="250" w:lineRule="exact"/>
        <w:jc w:val="both"/>
        <w:rPr>
          <w:color w:val="000000" w:themeColor="text1"/>
        </w:rPr>
      </w:pPr>
    </w:p>
    <w:p w:rsidR="00D2692F" w:rsidRDefault="00D2692F">
      <w:pPr>
        <w:spacing w:before="64" w:line="250" w:lineRule="exact"/>
        <w:jc w:val="both"/>
        <w:rPr>
          <w:color w:val="000000" w:themeColor="text1"/>
        </w:rPr>
      </w:pPr>
    </w:p>
    <w:p w:rsidR="00D2692F" w:rsidRDefault="00D2692F">
      <w:pPr>
        <w:spacing w:before="64" w:line="250" w:lineRule="exact"/>
        <w:jc w:val="both"/>
        <w:rPr>
          <w:color w:val="000000" w:themeColor="text1"/>
        </w:rPr>
      </w:pPr>
    </w:p>
    <w:p w:rsidR="007A426D" w:rsidRDefault="007A426D">
      <w:pPr>
        <w:spacing w:before="64" w:line="250" w:lineRule="exact"/>
        <w:jc w:val="both"/>
        <w:rPr>
          <w:color w:val="000000" w:themeColor="text1"/>
        </w:rPr>
      </w:pPr>
    </w:p>
    <w:p w:rsidR="00D2692F" w:rsidRDefault="00D2692F">
      <w:pPr>
        <w:spacing w:before="64" w:line="250" w:lineRule="exact"/>
        <w:jc w:val="both"/>
        <w:rPr>
          <w:color w:val="000000" w:themeColor="text1"/>
        </w:rPr>
      </w:pPr>
    </w:p>
    <w:p w:rsidR="007A426D" w:rsidRDefault="00AF3B3B" w:rsidP="007A426D">
      <w:pPr>
        <w:spacing w:before="64" w:line="250" w:lineRule="exact"/>
        <w:jc w:val="righ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 xml:space="preserve">Приложение 3.  </w:t>
      </w:r>
    </w:p>
    <w:p w:rsidR="007A426D" w:rsidRDefault="007A426D">
      <w:pPr>
        <w:spacing w:before="64" w:line="250" w:lineRule="exact"/>
        <w:jc w:val="both"/>
        <w:rPr>
          <w:b/>
          <w:bCs/>
          <w:color w:val="000000" w:themeColor="text1"/>
        </w:rPr>
      </w:pPr>
    </w:p>
    <w:p w:rsidR="00D2692F" w:rsidRDefault="00AF3B3B" w:rsidP="007A426D">
      <w:pPr>
        <w:spacing w:before="64" w:line="250" w:lineRule="exact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КЛЮЧЕВЫЕ АСПЕКТЫ ВЕДЕНИЯ ВРАЧОМ-ТЕРАПЕВТОМ ПАЦИЕНТОВ, НА</w:t>
      </w:r>
      <w:r>
        <w:rPr>
          <w:b/>
          <w:bCs/>
          <w:color w:val="000000" w:themeColor="text1"/>
        </w:rPr>
        <w:t>ХОДЯЩИХСЯ НА ГЕМОДИАЛИЗЕ/ ПЕРИТОНЕАЛЬНОМ ДИАЛИЗЕ</w:t>
      </w:r>
    </w:p>
    <w:p w:rsidR="00D2692F" w:rsidRDefault="00AF3B3B" w:rsidP="007A426D">
      <w:pPr>
        <w:spacing w:line="25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Содействие процессу адаптации пациента к заболеванию с учетом его возраста, семейной ситуации, условий образования и работы, формы возникновения и развития заболевания, доверия системе здравоохранения и т.</w:t>
      </w:r>
      <w:r>
        <w:rPr>
          <w:color w:val="000000" w:themeColor="text1"/>
        </w:rPr>
        <w:t>д.</w:t>
      </w:r>
    </w:p>
    <w:p w:rsidR="00D2692F" w:rsidRDefault="00AF3B3B" w:rsidP="007A426D">
      <w:pPr>
        <w:spacing w:line="25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Знание врачом-терапевтом различных терапевтических методов и особенностей их применения (частота; место, в котором применяют лечение; потенциальные осложнения с учетом альтернативного выбора).</w:t>
      </w:r>
    </w:p>
    <w:p w:rsidR="00D2692F" w:rsidRDefault="00AF3B3B" w:rsidP="007A426D">
      <w:pPr>
        <w:spacing w:line="25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Тесное взаимодействие и хороший канал связи с </w:t>
      </w:r>
      <w:r>
        <w:rPr>
          <w:color w:val="000000" w:themeColor="text1"/>
        </w:rPr>
        <w:t xml:space="preserve">соответствующим </w:t>
      </w:r>
      <w:proofErr w:type="spellStart"/>
      <w:r>
        <w:rPr>
          <w:color w:val="000000" w:themeColor="text1"/>
        </w:rPr>
        <w:t>нефрологическим</w:t>
      </w:r>
      <w:proofErr w:type="spellEnd"/>
      <w:r>
        <w:rPr>
          <w:color w:val="000000" w:themeColor="text1"/>
        </w:rPr>
        <w:t xml:space="preserve"> подразделением.</w:t>
      </w:r>
    </w:p>
    <w:p w:rsidR="00D2692F" w:rsidRDefault="00AF3B3B" w:rsidP="007A426D">
      <w:pPr>
        <w:spacing w:line="25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КЛЮЧЕВЫЕ АСПЕКТЫ ВЕДЕНИЯ ПАЦИЕНТОВ, ПЕРЕНЕСШИХ ТРАНСПЛАНТАЦИЮ ПОЧКИ</w:t>
      </w:r>
    </w:p>
    <w:p w:rsidR="00D2692F" w:rsidRDefault="00AF3B3B" w:rsidP="007A426D">
      <w:pPr>
        <w:spacing w:line="25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этой ситуации применимы все вышеперечисленные пункты, но при этом необходимо очень тесное взаимодействие со специалистом-нефрологом по воп</w:t>
      </w:r>
      <w:r>
        <w:rPr>
          <w:color w:val="000000" w:themeColor="text1"/>
        </w:rPr>
        <w:t xml:space="preserve">росам, касающимся </w:t>
      </w:r>
      <w:proofErr w:type="spellStart"/>
      <w:r>
        <w:rPr>
          <w:color w:val="000000" w:themeColor="text1"/>
        </w:rPr>
        <w:t>иммуносупрессивной</w:t>
      </w:r>
      <w:proofErr w:type="spellEnd"/>
      <w:r>
        <w:rPr>
          <w:color w:val="000000" w:themeColor="text1"/>
        </w:rPr>
        <w:t xml:space="preserve"> терапии, фармакологических взаимодействий и вакцинаций.</w:t>
      </w:r>
    </w:p>
    <w:p w:rsidR="00D2692F" w:rsidRDefault="00AF3B3B" w:rsidP="007A426D">
      <w:pPr>
        <w:spacing w:line="25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КЛЮЧЕВЫЕ АСПЕКТЫ ВЕДЕНИЯ ПАЦИЕНТОВ С ТЕРМИНАЛЬНОЙ СТАДИЕЙ УРЕМИИ, НАХОДЯЩИХСЯ ДОМА. ПАЛЛИАТИВНОЕ ЛЕЧЕНИЕ.</w:t>
      </w:r>
    </w:p>
    <w:p w:rsidR="00D2692F" w:rsidRDefault="00AF3B3B" w:rsidP="007A426D">
      <w:pPr>
        <w:spacing w:line="25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Цель домашнего ухода за пациентами с терминальной уремие</w:t>
      </w:r>
      <w:r>
        <w:rPr>
          <w:color w:val="000000" w:themeColor="text1"/>
        </w:rPr>
        <w:t xml:space="preserve">й – улучшение самочувствия пациентов с уремией, которым не может быть проведен диализ, минимизация влияния их состояния на физическое окружение, членов семьи и медицинских работников и оптимизация ресурсов национальной системы здравоохранения. Это требует </w:t>
      </w:r>
      <w:r>
        <w:rPr>
          <w:color w:val="000000" w:themeColor="text1"/>
        </w:rPr>
        <w:t>хорошо</w:t>
      </w:r>
    </w:p>
    <w:p w:rsidR="00D2692F" w:rsidRDefault="00AF3B3B" w:rsidP="007A426D">
      <w:pPr>
        <w:spacing w:line="250" w:lineRule="exact"/>
        <w:ind w:firstLine="709"/>
        <w:jc w:val="both"/>
      </w:pPr>
      <w:r>
        <w:rPr>
          <w:color w:val="000000" w:themeColor="text1"/>
        </w:rPr>
        <w:t xml:space="preserve">скоординированных действий специалиста-нефролога и лечащего врача-терапевта. В тех областях медицины, в которых существуют группы по осуществлению домашнего ухода, независимо от того, организованы ли они на базе специализированного отделения или на </w:t>
      </w:r>
      <w:r>
        <w:rPr>
          <w:color w:val="000000" w:themeColor="text1"/>
        </w:rPr>
        <w:t>базе отделения первичной медико-санитарной помощи, их включение в терапевтическую команду может быть очень полезным. Решение о домашнем уходе следует принимать с использованием индивидуального подхода при согласии пациента, членов семьи и медицинских специ</w:t>
      </w:r>
      <w:r>
        <w:rPr>
          <w:color w:val="000000" w:themeColor="text1"/>
        </w:rPr>
        <w:t xml:space="preserve">алистов.  </w:t>
      </w:r>
    </w:p>
    <w:p w:rsidR="00D2692F" w:rsidRDefault="00D2692F">
      <w:pPr>
        <w:spacing w:before="64" w:line="250" w:lineRule="exact"/>
        <w:jc w:val="center"/>
        <w:outlineLvl w:val="0"/>
        <w:rPr>
          <w:b/>
        </w:rPr>
      </w:pPr>
    </w:p>
    <w:p w:rsidR="00D2692F" w:rsidRDefault="00D2692F">
      <w:pPr>
        <w:spacing w:before="64" w:line="250" w:lineRule="exact"/>
        <w:jc w:val="center"/>
        <w:outlineLvl w:val="0"/>
        <w:rPr>
          <w:b/>
        </w:rPr>
      </w:pPr>
    </w:p>
    <w:p w:rsidR="00D2692F" w:rsidRDefault="00D2692F">
      <w:pPr>
        <w:spacing w:before="64" w:line="250" w:lineRule="exact"/>
        <w:jc w:val="center"/>
        <w:outlineLvl w:val="0"/>
        <w:rPr>
          <w:b/>
        </w:rPr>
      </w:pPr>
    </w:p>
    <w:p w:rsidR="007A426D" w:rsidRDefault="00AF3B3B" w:rsidP="007A426D">
      <w:pPr>
        <w:spacing w:before="64" w:line="250" w:lineRule="exact"/>
        <w:jc w:val="right"/>
        <w:outlineLvl w:val="0"/>
        <w:rPr>
          <w:b/>
        </w:rPr>
      </w:pPr>
      <w:r>
        <w:rPr>
          <w:b/>
        </w:rPr>
        <w:lastRenderedPageBreak/>
        <w:t xml:space="preserve">Приложение 4. </w:t>
      </w:r>
    </w:p>
    <w:p w:rsidR="007A426D" w:rsidRDefault="007A426D">
      <w:pPr>
        <w:spacing w:before="64" w:line="250" w:lineRule="exact"/>
        <w:jc w:val="both"/>
        <w:outlineLvl w:val="0"/>
        <w:rPr>
          <w:b/>
        </w:rPr>
      </w:pPr>
    </w:p>
    <w:p w:rsidR="00D2692F" w:rsidRDefault="007A426D" w:rsidP="007A426D">
      <w:pPr>
        <w:spacing w:before="64" w:line="250" w:lineRule="exact"/>
        <w:jc w:val="center"/>
        <w:outlineLvl w:val="0"/>
        <w:rPr>
          <w:b/>
        </w:rPr>
      </w:pPr>
      <w:r>
        <w:rPr>
          <w:b/>
        </w:rPr>
        <w:t>ОБЩИЕ ПОДХОДЫ К РАЦИОНУ ПАЦИЕНТОВ С ХБП</w:t>
      </w:r>
    </w:p>
    <w:p w:rsidR="007A426D" w:rsidRDefault="007A426D" w:rsidP="007A426D">
      <w:pPr>
        <w:spacing w:before="64" w:line="250" w:lineRule="exact"/>
        <w:jc w:val="center"/>
        <w:outlineLvl w:val="0"/>
        <w:rPr>
          <w:b/>
        </w:rPr>
      </w:pPr>
    </w:p>
    <w:p w:rsidR="00D2692F" w:rsidRDefault="00AF3B3B" w:rsidP="007A426D">
      <w:pPr>
        <w:spacing w:line="250" w:lineRule="exact"/>
        <w:ind w:firstLine="709"/>
        <w:jc w:val="both"/>
        <w:outlineLvl w:val="0"/>
        <w:rPr>
          <w:bCs/>
        </w:rPr>
      </w:pPr>
      <w:r>
        <w:rPr>
          <w:bCs/>
        </w:rPr>
        <w:t>Оптимальная диета для отдельных пациентов с ХБП варьирует в зависимости от расчетной скорости клубочковой фильтрации (</w:t>
      </w:r>
      <w:proofErr w:type="spellStart"/>
      <w:r>
        <w:rPr>
          <w:bCs/>
        </w:rPr>
        <w:t>рСКФ</w:t>
      </w:r>
      <w:proofErr w:type="spellEnd"/>
      <w:r>
        <w:rPr>
          <w:bCs/>
        </w:rPr>
        <w:t xml:space="preserve">), типа заболевания почек (т. е. </w:t>
      </w:r>
      <w:proofErr w:type="spellStart"/>
      <w:r>
        <w:rPr>
          <w:bCs/>
        </w:rPr>
        <w:t>протеинурического</w:t>
      </w:r>
      <w:proofErr w:type="spellEnd"/>
      <w:r>
        <w:rPr>
          <w:bCs/>
        </w:rPr>
        <w:t xml:space="preserve"> или </w:t>
      </w:r>
      <w:proofErr w:type="spellStart"/>
      <w:r>
        <w:rPr>
          <w:bCs/>
        </w:rPr>
        <w:t>непротеину</w:t>
      </w:r>
      <w:r>
        <w:rPr>
          <w:bCs/>
        </w:rPr>
        <w:t>рического</w:t>
      </w:r>
      <w:proofErr w:type="spellEnd"/>
      <w:r>
        <w:rPr>
          <w:bCs/>
        </w:rPr>
        <w:t>) и наличия других сопутствующих заболеваний, таких как сахарный диабет, артериальная гипертензия или сердечная недостаточность. Для большинства пациентов с ХБП оптимальная диета аналогична «Диетическому подходу к остановке гипертензии» (DASH) и с</w:t>
      </w:r>
      <w:r>
        <w:rPr>
          <w:bCs/>
        </w:rPr>
        <w:t xml:space="preserve">остоит из продуктов с низким содержанием натрия, высоким – фруктов, овощей, бобовых, рыбы, птицы и </w:t>
      </w:r>
      <w:proofErr w:type="spellStart"/>
      <w:r>
        <w:rPr>
          <w:bCs/>
        </w:rPr>
        <w:t>цельнозерновых</w:t>
      </w:r>
      <w:proofErr w:type="spellEnd"/>
      <w:r>
        <w:rPr>
          <w:bCs/>
        </w:rPr>
        <w:t xml:space="preserve"> продуктов. Однако у многих пациентов диета нуждается в дальнейшей модификации в зависимости от конкретных лабораторных показателей, включая сы</w:t>
      </w:r>
      <w:r>
        <w:rPr>
          <w:bCs/>
        </w:rPr>
        <w:t xml:space="preserve">вороточный калий или сывороточный фосфор. Скорее </w:t>
      </w:r>
      <w:proofErr w:type="gramStart"/>
      <w:r>
        <w:rPr>
          <w:bCs/>
        </w:rPr>
        <w:t>всего</w:t>
      </w:r>
      <w:proofErr w:type="gramEnd"/>
      <w:r>
        <w:rPr>
          <w:bCs/>
        </w:rPr>
        <w:t xml:space="preserve"> никаких изменений рациона не потребуется для пациентов с </w:t>
      </w:r>
      <w:proofErr w:type="spellStart"/>
      <w:r>
        <w:rPr>
          <w:bCs/>
        </w:rPr>
        <w:t>рСКФ</w:t>
      </w:r>
      <w:proofErr w:type="spellEnd"/>
      <w:r>
        <w:rPr>
          <w:bCs/>
        </w:rPr>
        <w:t xml:space="preserve"> ≥ 60 мл/мин/1,73 </w:t>
      </w:r>
      <w:proofErr w:type="spellStart"/>
      <w:r>
        <w:rPr>
          <w:bCs/>
        </w:rPr>
        <w:t>кв.м</w:t>
      </w:r>
      <w:proofErr w:type="spellEnd"/>
      <w:r>
        <w:rPr>
          <w:bCs/>
        </w:rPr>
        <w:t>. Если же этот показатель выше, то следует предпринять следующие шаги:</w:t>
      </w:r>
    </w:p>
    <w:p w:rsidR="00D2692F" w:rsidRDefault="00AF3B3B" w:rsidP="007A426D">
      <w:pPr>
        <w:spacing w:line="250" w:lineRule="exact"/>
        <w:ind w:firstLine="709"/>
        <w:jc w:val="both"/>
        <w:outlineLvl w:val="0"/>
        <w:rPr>
          <w:bCs/>
        </w:rPr>
      </w:pPr>
      <w:r>
        <w:rPr>
          <w:bCs/>
        </w:rPr>
        <w:t>Придерживаться суточной дозы белка 0,8 г/кг мас</w:t>
      </w:r>
      <w:r>
        <w:rPr>
          <w:bCs/>
        </w:rPr>
        <w:t xml:space="preserve">сы тела. Не рекомендуется снижение его ниже 0,6 г/кг массы тела в сутки. При наличии </w:t>
      </w:r>
      <w:proofErr w:type="spellStart"/>
      <w:r>
        <w:rPr>
          <w:bCs/>
        </w:rPr>
        <w:t>гиперволемии</w:t>
      </w:r>
      <w:proofErr w:type="spellEnd"/>
      <w:r>
        <w:rPr>
          <w:bCs/>
        </w:rPr>
        <w:t>, артериальной гипертензии или протеинурией необходимо держать потребление натрия ниже 2 г/</w:t>
      </w:r>
      <w:proofErr w:type="spellStart"/>
      <w:r>
        <w:rPr>
          <w:bCs/>
        </w:rPr>
        <w:t>сут</w:t>
      </w:r>
      <w:proofErr w:type="spellEnd"/>
      <w:r>
        <w:rPr>
          <w:bCs/>
        </w:rPr>
        <w:t>, то есть не более 5 г/</w:t>
      </w:r>
      <w:proofErr w:type="spellStart"/>
      <w:r>
        <w:rPr>
          <w:bCs/>
        </w:rPr>
        <w:t>сут</w:t>
      </w:r>
      <w:proofErr w:type="spellEnd"/>
      <w:r>
        <w:rPr>
          <w:bCs/>
        </w:rPr>
        <w:t xml:space="preserve"> поваренной соли как в добавленном виде</w:t>
      </w:r>
      <w:r>
        <w:rPr>
          <w:bCs/>
        </w:rPr>
        <w:t>, так и в продуктах.</w:t>
      </w:r>
    </w:p>
    <w:p w:rsidR="00D2692F" w:rsidRDefault="00AF3B3B" w:rsidP="007A426D">
      <w:pPr>
        <w:spacing w:line="250" w:lineRule="exact"/>
        <w:ind w:firstLine="709"/>
        <w:jc w:val="both"/>
        <w:outlineLvl w:val="0"/>
        <w:rPr>
          <w:bCs/>
        </w:rPr>
      </w:pPr>
      <w:r>
        <w:rPr>
          <w:bCs/>
        </w:rPr>
        <w:t>Не снижать потребление овощей ниже 300–400 г в сутки.</w:t>
      </w:r>
      <w:r w:rsidR="00D3249C">
        <w:rPr>
          <w:bCs/>
        </w:rPr>
        <w:t xml:space="preserve"> </w:t>
      </w:r>
      <w:r>
        <w:rPr>
          <w:bCs/>
        </w:rPr>
        <w:t>Калий ограничивать только при его высоком уровне в сыворотке крови. Кальций – из продуктов и лекарств – допустим в пределах 1000–1500 мг/</w:t>
      </w:r>
      <w:proofErr w:type="spellStart"/>
      <w:r>
        <w:rPr>
          <w:bCs/>
        </w:rPr>
        <w:t>сут</w:t>
      </w:r>
      <w:proofErr w:type="spellEnd"/>
      <w:r>
        <w:rPr>
          <w:bCs/>
        </w:rPr>
        <w:t>, но не более.</w:t>
      </w:r>
    </w:p>
    <w:p w:rsidR="00D2692F" w:rsidRDefault="00AF3B3B" w:rsidP="007A426D">
      <w:pPr>
        <w:spacing w:line="250" w:lineRule="exact"/>
        <w:ind w:firstLine="709"/>
        <w:jc w:val="both"/>
        <w:outlineLvl w:val="0"/>
        <w:rPr>
          <w:bCs/>
        </w:rPr>
      </w:pPr>
      <w:r>
        <w:rPr>
          <w:bCs/>
        </w:rPr>
        <w:t xml:space="preserve">Максимальное потребление </w:t>
      </w:r>
      <w:r>
        <w:rPr>
          <w:bCs/>
        </w:rPr>
        <w:t>фосфора – 0,8 до 1 г/</w:t>
      </w:r>
      <w:proofErr w:type="spellStart"/>
      <w:r>
        <w:rPr>
          <w:bCs/>
        </w:rPr>
        <w:t>сут</w:t>
      </w:r>
      <w:proofErr w:type="spellEnd"/>
      <w:r>
        <w:rPr>
          <w:bCs/>
        </w:rPr>
        <w:t>, даже если концентрация фосфора в сыворотке крови нормальная. Это связано с данными исследований, в которых показано, что потребление фосфора с пищей может изменить концентрацию циркулирующего фактора роста фибробластов. Лучшие ист</w:t>
      </w:r>
      <w:r>
        <w:rPr>
          <w:bCs/>
        </w:rPr>
        <w:t>очники фосфора – мясо и птичьи яйца.</w:t>
      </w:r>
    </w:p>
    <w:p w:rsidR="00D2692F" w:rsidRDefault="00AF3B3B" w:rsidP="007A426D">
      <w:pPr>
        <w:spacing w:line="250" w:lineRule="exact"/>
        <w:ind w:firstLine="709"/>
        <w:jc w:val="both"/>
        <w:outlineLvl w:val="0"/>
        <w:rPr>
          <w:bCs/>
        </w:rPr>
      </w:pPr>
      <w:r>
        <w:rPr>
          <w:bCs/>
        </w:rPr>
        <w:t>Максимальная калорийность рациона 30–35 ккал/кг массы тела в сутки.</w:t>
      </w:r>
    </w:p>
    <w:p w:rsidR="00D2692F" w:rsidRDefault="00AF3B3B" w:rsidP="007A426D">
      <w:pPr>
        <w:spacing w:line="250" w:lineRule="exact"/>
        <w:ind w:firstLine="709"/>
        <w:jc w:val="both"/>
        <w:outlineLvl w:val="0"/>
        <w:rPr>
          <w:bCs/>
        </w:rPr>
      </w:pPr>
      <w:r>
        <w:rPr>
          <w:bCs/>
        </w:rPr>
        <w:t xml:space="preserve">Максимальное потребление жиров – не более 30 % суточной калорийности, насыщенных жиров – не более 10 %. </w:t>
      </w:r>
    </w:p>
    <w:p w:rsidR="00D2692F" w:rsidRDefault="00AF3B3B" w:rsidP="007A426D">
      <w:pPr>
        <w:spacing w:line="250" w:lineRule="exact"/>
        <w:ind w:firstLine="709"/>
        <w:jc w:val="both"/>
        <w:outlineLvl w:val="0"/>
        <w:rPr>
          <w:bCs/>
        </w:rPr>
      </w:pPr>
      <w:r>
        <w:rPr>
          <w:bCs/>
        </w:rPr>
        <w:t xml:space="preserve">Пищевые волокна – 25–38 г в сутки. </w:t>
      </w:r>
    </w:p>
    <w:p w:rsidR="00D2692F" w:rsidRDefault="00D2692F">
      <w:pPr>
        <w:spacing w:before="64" w:line="250" w:lineRule="exact"/>
        <w:jc w:val="center"/>
        <w:outlineLvl w:val="0"/>
        <w:rPr>
          <w:b/>
        </w:rPr>
      </w:pPr>
    </w:p>
    <w:p w:rsidR="00D2692F" w:rsidRDefault="00D2692F">
      <w:pPr>
        <w:spacing w:before="64" w:line="250" w:lineRule="exact"/>
        <w:jc w:val="center"/>
        <w:outlineLvl w:val="0"/>
        <w:rPr>
          <w:b/>
        </w:rPr>
      </w:pPr>
    </w:p>
    <w:p w:rsidR="00D2692F" w:rsidRDefault="00D2692F">
      <w:pPr>
        <w:spacing w:before="64" w:line="250" w:lineRule="exact"/>
        <w:jc w:val="center"/>
        <w:outlineLvl w:val="0"/>
        <w:rPr>
          <w:b/>
        </w:rPr>
      </w:pPr>
    </w:p>
    <w:p w:rsidR="00D2692F" w:rsidRDefault="00D2692F">
      <w:pPr>
        <w:spacing w:before="64" w:line="250" w:lineRule="exact"/>
        <w:jc w:val="center"/>
        <w:outlineLvl w:val="0"/>
        <w:rPr>
          <w:b/>
        </w:rPr>
      </w:pPr>
    </w:p>
    <w:p w:rsidR="00D2692F" w:rsidRDefault="00AF3B3B">
      <w:pPr>
        <w:spacing w:before="64" w:line="250" w:lineRule="exact"/>
        <w:jc w:val="center"/>
        <w:outlineLvl w:val="0"/>
        <w:rPr>
          <w:b/>
        </w:rPr>
      </w:pPr>
      <w:r>
        <w:rPr>
          <w:b/>
        </w:rPr>
        <w:t>Список</w:t>
      </w:r>
      <w:r>
        <w:rPr>
          <w:b/>
        </w:rPr>
        <w:t xml:space="preserve"> рекомендуемой литературы</w:t>
      </w:r>
    </w:p>
    <w:p w:rsidR="00D2692F" w:rsidRDefault="00AF3B3B">
      <w:pPr>
        <w:numPr>
          <w:ilvl w:val="0"/>
          <w:numId w:val="5"/>
        </w:numPr>
        <w:spacing w:before="64" w:line="250" w:lineRule="exact"/>
        <w:jc w:val="both"/>
        <w:rPr>
          <w:bCs/>
        </w:rPr>
      </w:pPr>
      <w:r>
        <w:rPr>
          <w:bCs/>
        </w:rPr>
        <w:t xml:space="preserve"> Клинические рекомендации </w:t>
      </w:r>
      <w:proofErr w:type="gramStart"/>
      <w:r>
        <w:rPr>
          <w:bCs/>
        </w:rPr>
        <w:t>Хроническая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болезень</w:t>
      </w:r>
      <w:proofErr w:type="spellEnd"/>
      <w:r>
        <w:rPr>
          <w:bCs/>
        </w:rPr>
        <w:t xml:space="preserve"> почек 2024.  </w:t>
      </w:r>
    </w:p>
    <w:p w:rsidR="00D2692F" w:rsidRDefault="00AF3B3B">
      <w:pPr>
        <w:numPr>
          <w:ilvl w:val="0"/>
          <w:numId w:val="5"/>
        </w:numPr>
        <w:spacing w:before="64" w:line="250" w:lineRule="exact"/>
        <w:jc w:val="both"/>
        <w:rPr>
          <w:bCs/>
        </w:rPr>
      </w:pPr>
      <w:r w:rsidRPr="00A56DFD">
        <w:rPr>
          <w:bCs/>
          <w:lang w:val="en-US"/>
        </w:rPr>
        <w:t xml:space="preserve">Otero A, de Francisco A, </w:t>
      </w:r>
      <w:proofErr w:type="spellStart"/>
      <w:r w:rsidRPr="00A56DFD">
        <w:rPr>
          <w:bCs/>
          <w:lang w:val="en-US"/>
        </w:rPr>
        <w:t>Gayoso</w:t>
      </w:r>
      <w:proofErr w:type="spellEnd"/>
      <w:r w:rsidRPr="00A56DFD">
        <w:rPr>
          <w:bCs/>
          <w:lang w:val="en-US"/>
        </w:rPr>
        <w:t xml:space="preserve"> P, Garcia F; on behalf of the EPIRCE Study Group. Prevalence of chronic renal disease in Spain: results of the EPIRCE study. </w:t>
      </w:r>
      <w:proofErr w:type="spellStart"/>
      <w:r>
        <w:rPr>
          <w:bCs/>
        </w:rPr>
        <w:t>Nefrologia</w:t>
      </w:r>
      <w:proofErr w:type="spellEnd"/>
      <w:r>
        <w:rPr>
          <w:bCs/>
        </w:rPr>
        <w:t xml:space="preserve"> 2</w:t>
      </w:r>
      <w:r>
        <w:rPr>
          <w:bCs/>
        </w:rPr>
        <w:t>010;30(1):78-86.</w:t>
      </w:r>
    </w:p>
    <w:p w:rsidR="00D2692F" w:rsidRDefault="00AF3B3B">
      <w:pPr>
        <w:numPr>
          <w:ilvl w:val="0"/>
          <w:numId w:val="5"/>
        </w:numPr>
        <w:spacing w:before="64" w:line="250" w:lineRule="exact"/>
        <w:jc w:val="both"/>
        <w:rPr>
          <w:bCs/>
        </w:rPr>
      </w:pPr>
      <w:r w:rsidRPr="00A56DFD">
        <w:rPr>
          <w:bCs/>
          <w:lang w:val="en-US"/>
        </w:rPr>
        <w:t xml:space="preserve"> De Francisco ALM. </w:t>
      </w:r>
      <w:proofErr w:type="spellStart"/>
      <w:r w:rsidRPr="00A56DFD">
        <w:rPr>
          <w:bCs/>
          <w:lang w:val="en-US"/>
        </w:rPr>
        <w:t>Sostenibilidad</w:t>
      </w:r>
      <w:proofErr w:type="spellEnd"/>
      <w:r w:rsidRPr="00A56DFD">
        <w:rPr>
          <w:bCs/>
          <w:lang w:val="en-US"/>
        </w:rPr>
        <w:t xml:space="preserve"> y </w:t>
      </w:r>
      <w:proofErr w:type="spellStart"/>
      <w:r w:rsidRPr="00A56DFD">
        <w:rPr>
          <w:bCs/>
          <w:lang w:val="en-US"/>
        </w:rPr>
        <w:t>equidad</w:t>
      </w:r>
      <w:proofErr w:type="spellEnd"/>
      <w:r w:rsidRPr="00A56DFD">
        <w:rPr>
          <w:bCs/>
          <w:lang w:val="en-US"/>
        </w:rPr>
        <w:t xml:space="preserve"> </w:t>
      </w:r>
      <w:proofErr w:type="gramStart"/>
      <w:r w:rsidRPr="00A56DFD">
        <w:rPr>
          <w:bCs/>
          <w:lang w:val="en-US"/>
        </w:rPr>
        <w:t>del</w:t>
      </w:r>
      <w:proofErr w:type="gramEnd"/>
      <w:r w:rsidRPr="00A56DFD">
        <w:rPr>
          <w:bCs/>
          <w:lang w:val="en-US"/>
        </w:rPr>
        <w:t xml:space="preserve"> </w:t>
      </w:r>
      <w:proofErr w:type="spellStart"/>
      <w:r w:rsidRPr="00A56DFD">
        <w:rPr>
          <w:bCs/>
          <w:lang w:val="en-US"/>
        </w:rPr>
        <w:t>tratamiento</w:t>
      </w:r>
      <w:proofErr w:type="spellEnd"/>
      <w:r w:rsidRPr="00A56DFD">
        <w:rPr>
          <w:bCs/>
          <w:lang w:val="en-US"/>
        </w:rPr>
        <w:t xml:space="preserve"> </w:t>
      </w:r>
      <w:proofErr w:type="spellStart"/>
      <w:r w:rsidRPr="00A56DFD">
        <w:rPr>
          <w:bCs/>
          <w:lang w:val="en-US"/>
        </w:rPr>
        <w:t>sustitutivo</w:t>
      </w:r>
      <w:proofErr w:type="spellEnd"/>
      <w:r w:rsidRPr="00A56DFD">
        <w:rPr>
          <w:bCs/>
          <w:lang w:val="en-US"/>
        </w:rPr>
        <w:t xml:space="preserve"> de la </w:t>
      </w:r>
      <w:proofErr w:type="spellStart"/>
      <w:r w:rsidRPr="00A56DFD">
        <w:rPr>
          <w:bCs/>
          <w:lang w:val="en-US"/>
        </w:rPr>
        <w:t>funcion</w:t>
      </w:r>
      <w:proofErr w:type="spellEnd"/>
      <w:r w:rsidRPr="00A56DFD">
        <w:rPr>
          <w:bCs/>
          <w:lang w:val="en-US"/>
        </w:rPr>
        <w:t xml:space="preserve"> renal en </w:t>
      </w:r>
      <w:proofErr w:type="spellStart"/>
      <w:r w:rsidRPr="00A56DFD">
        <w:rPr>
          <w:bCs/>
          <w:lang w:val="en-US"/>
        </w:rPr>
        <w:t>Espana</w:t>
      </w:r>
      <w:proofErr w:type="spellEnd"/>
      <w:r w:rsidRPr="00A56DFD">
        <w:rPr>
          <w:bCs/>
          <w:lang w:val="en-US"/>
        </w:rPr>
        <w:t xml:space="preserve">. </w:t>
      </w:r>
      <w:proofErr w:type="spellStart"/>
      <w:r>
        <w:rPr>
          <w:bCs/>
        </w:rPr>
        <w:t>Nefrologia</w:t>
      </w:r>
      <w:proofErr w:type="spellEnd"/>
      <w:r>
        <w:rPr>
          <w:bCs/>
        </w:rPr>
        <w:t xml:space="preserve"> 2011;31:241-6. </w:t>
      </w:r>
    </w:p>
    <w:p w:rsidR="00D2692F" w:rsidRDefault="00AF3B3B">
      <w:pPr>
        <w:numPr>
          <w:ilvl w:val="0"/>
          <w:numId w:val="5"/>
        </w:numPr>
        <w:spacing w:before="64" w:line="250" w:lineRule="exact"/>
        <w:jc w:val="both"/>
        <w:rPr>
          <w:bCs/>
          <w:lang w:val="en-US"/>
        </w:rPr>
      </w:pPr>
      <w:r w:rsidRPr="00A56DFD">
        <w:rPr>
          <w:bCs/>
          <w:lang w:val="en-US"/>
        </w:rPr>
        <w:t xml:space="preserve">KDIGO Clinical Practice Guidelines for the management of blood pressure in chronic kidney disease. </w:t>
      </w:r>
      <w:proofErr w:type="spellStart"/>
      <w:r>
        <w:rPr>
          <w:bCs/>
        </w:rPr>
        <w:t>Kidney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Int</w:t>
      </w:r>
      <w:proofErr w:type="spellEnd"/>
      <w:r>
        <w:rPr>
          <w:bCs/>
        </w:rPr>
        <w:t xml:space="preserve"> 2012;2(</w:t>
      </w:r>
      <w:proofErr w:type="spellStart"/>
      <w:r>
        <w:rPr>
          <w:bCs/>
        </w:rPr>
        <w:t>Suppl</w:t>
      </w:r>
      <w:proofErr w:type="spellEnd"/>
      <w:r>
        <w:rPr>
          <w:bCs/>
        </w:rPr>
        <w:t>):340-414</w:t>
      </w:r>
    </w:p>
    <w:sectPr w:rsidR="00D2692F" w:rsidSect="00D3249C">
      <w:footerReference w:type="default" r:id="rId10"/>
      <w:pgSz w:w="8420" w:h="11910"/>
      <w:pgMar w:top="720" w:right="720" w:bottom="720" w:left="720" w:header="0" w:footer="7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3B" w:rsidRDefault="00AF3B3B">
      <w:r>
        <w:separator/>
      </w:r>
    </w:p>
  </w:endnote>
  <w:endnote w:type="continuationSeparator" w:id="0">
    <w:p w:rsidR="00AF3B3B" w:rsidRDefault="00AF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2F" w:rsidRDefault="00AF3B3B">
    <w:pPr>
      <w:pStyle w:val="a4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919C693" wp14:editId="1CE3E31A">
              <wp:simplePos x="0" y="0"/>
              <wp:positionH relativeFrom="page">
                <wp:posOffset>2542540</wp:posOffset>
              </wp:positionH>
              <wp:positionV relativeFrom="page">
                <wp:posOffset>6934200</wp:posOffset>
              </wp:positionV>
              <wp:extent cx="167005" cy="18986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692F" w:rsidRDefault="00AF3B3B">
                          <w:pPr>
                            <w:pStyle w:val="a4"/>
                            <w:spacing w:before="20"/>
                            <w:ind w:left="6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separate"/>
                          </w:r>
                          <w:r w:rsidR="00D3249C">
                            <w:rPr>
                              <w:rFonts w:ascii="Cambria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00.2pt;margin-top:546pt;width:13.15pt;height:14.9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" filled="f" stroked="f">
              <v:textbox inset="0,0,0,0">
                <w:txbxContent>
                  <w:p w:rsidR="00D2692F" w:rsidRDefault="00AF3B3B">
                    <w:pPr>
                      <w:pStyle w:val="a4"/>
                      <w:spacing w:before="20"/>
                      <w:ind w:left="6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spacing w:val="-10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0"/>
                      </w:rPr>
                      <w:fldChar w:fldCharType="separate"/>
                    </w:r>
                    <w:r w:rsidR="00D3249C">
                      <w:rPr>
                        <w:rFonts w:ascii="Cambria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mbri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2F" w:rsidRDefault="00AF3B3B">
    <w:pPr>
      <w:pStyle w:val="a4"/>
      <w:spacing w:line="14" w:lineRule="auto"/>
      <w:ind w:left="0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2720DBE" wp14:editId="6C85E92B">
              <wp:simplePos x="0" y="0"/>
              <wp:positionH relativeFrom="page">
                <wp:posOffset>2504440</wp:posOffset>
              </wp:positionH>
              <wp:positionV relativeFrom="page">
                <wp:posOffset>6934200</wp:posOffset>
              </wp:positionV>
              <wp:extent cx="313055" cy="189865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05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692F" w:rsidRDefault="00AF3B3B">
                          <w:pPr>
                            <w:pStyle w:val="a4"/>
                            <w:spacing w:before="20"/>
                            <w:ind w:left="228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fldChar w:fldCharType="separate"/>
                          </w:r>
                          <w:r w:rsidR="00D3249C">
                            <w:rPr>
                              <w:rFonts w:ascii="Cambria"/>
                              <w:noProof/>
                              <w:spacing w:val="-5"/>
                            </w:rPr>
                            <w:t>23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197.2pt;margin-top:546pt;width:24.65pt;height:14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" filled="f" stroked="f">
              <v:textbox inset="0,0,0,0">
                <w:txbxContent>
                  <w:p w:rsidR="00D2692F" w:rsidRDefault="00AF3B3B">
                    <w:pPr>
                      <w:pStyle w:val="a4"/>
                      <w:spacing w:before="20"/>
                      <w:ind w:left="228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spacing w:val="-5"/>
                      </w:rPr>
                      <w:fldChar w:fldCharType="begin"/>
                    </w:r>
                    <w:r>
                      <w:rPr>
                        <w:rFonts w:ascii="Cambria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5"/>
                      </w:rPr>
                      <w:fldChar w:fldCharType="separate"/>
                    </w:r>
                    <w:r w:rsidR="00D3249C">
                      <w:rPr>
                        <w:rFonts w:ascii="Cambria"/>
                        <w:noProof/>
                        <w:spacing w:val="-5"/>
                      </w:rPr>
                      <w:t>23</w:t>
                    </w:r>
                    <w:r>
                      <w:rPr>
                        <w:rFonts w:ascii="Cambria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3B" w:rsidRDefault="00AF3B3B">
      <w:r>
        <w:separator/>
      </w:r>
    </w:p>
  </w:footnote>
  <w:footnote w:type="continuationSeparator" w:id="0">
    <w:p w:rsidR="00AF3B3B" w:rsidRDefault="00AF3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2EBDE9"/>
    <w:multiLevelType w:val="singleLevel"/>
    <w:tmpl w:val="912EBDE9"/>
    <w:lvl w:ilvl="0">
      <w:start w:val="1"/>
      <w:numFmt w:val="decimal"/>
      <w:suff w:val="space"/>
      <w:lvlText w:val="%1."/>
      <w:lvlJc w:val="left"/>
    </w:lvl>
  </w:abstractNum>
  <w:abstractNum w:abstractNumId="1">
    <w:nsid w:val="B20D9CCC"/>
    <w:multiLevelType w:val="singleLevel"/>
    <w:tmpl w:val="B20D9CC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737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465" w:hanging="2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91" w:hanging="2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6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7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3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18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44" w:hanging="264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>
      <w:numFmt w:val="bullet"/>
      <w:lvlText w:val="-"/>
      <w:lvlJc w:val="left"/>
      <w:pPr>
        <w:ind w:left="73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465" w:hanging="1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91" w:hanging="1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6" w:hanging="1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7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3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18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44" w:hanging="128"/>
      </w:pPr>
      <w:rPr>
        <w:rFonts w:hint="default"/>
        <w:lang w:val="ru-RU" w:eastAsia="en-US" w:bidi="ar-SA"/>
      </w:rPr>
    </w:lvl>
  </w:abstractNum>
  <w:abstractNum w:abstractNumId="4">
    <w:nsid w:val="26F52C09"/>
    <w:multiLevelType w:val="hybridMultilevel"/>
    <w:tmpl w:val="274020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7BF06B6"/>
    <w:multiLevelType w:val="hybridMultilevel"/>
    <w:tmpl w:val="3656E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5E6C6"/>
    <w:multiLevelType w:val="singleLevel"/>
    <w:tmpl w:val="28C5E6C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E0E23DF"/>
    <w:multiLevelType w:val="hybridMultilevel"/>
    <w:tmpl w:val="2A0A28EC"/>
    <w:lvl w:ilvl="0" w:tplc="76D434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5867CB"/>
    <w:multiLevelType w:val="hybridMultilevel"/>
    <w:tmpl w:val="4920C2A4"/>
    <w:lvl w:ilvl="0" w:tplc="76D434A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E147F82"/>
    <w:multiLevelType w:val="hybridMultilevel"/>
    <w:tmpl w:val="D652862E"/>
    <w:lvl w:ilvl="0" w:tplc="76D434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D2692F"/>
    <w:rsid w:val="006D76AB"/>
    <w:rsid w:val="007A426D"/>
    <w:rsid w:val="00944DB9"/>
    <w:rsid w:val="00A56DFD"/>
    <w:rsid w:val="00AC589E"/>
    <w:rsid w:val="00AF3B3B"/>
    <w:rsid w:val="00D2692F"/>
    <w:rsid w:val="00D3249C"/>
    <w:rsid w:val="00EB244F"/>
    <w:rsid w:val="31CC102B"/>
    <w:rsid w:val="33D137B5"/>
    <w:rsid w:val="35891EC6"/>
    <w:rsid w:val="40CE2BC6"/>
    <w:rsid w:val="4C826B4B"/>
    <w:rsid w:val="5ECB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6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1"/>
    <w:qFormat/>
    <w:pPr>
      <w:ind w:left="1317"/>
      <w:outlineLvl w:val="1"/>
    </w:pPr>
    <w:rPr>
      <w:b/>
      <w:bCs/>
    </w:rPr>
  </w:style>
  <w:style w:type="paragraph" w:styleId="3">
    <w:name w:val="heading 3"/>
    <w:basedOn w:val="a"/>
    <w:next w:val="a"/>
    <w:uiPriority w:val="1"/>
    <w:qFormat/>
    <w:pPr>
      <w:ind w:left="568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ody Text"/>
    <w:basedOn w:val="a"/>
    <w:uiPriority w:val="1"/>
    <w:qFormat/>
    <w:pPr>
      <w:ind w:left="737"/>
    </w:pPr>
  </w:style>
  <w:style w:type="paragraph" w:styleId="a5">
    <w:name w:val="Title"/>
    <w:basedOn w:val="a"/>
    <w:uiPriority w:val="1"/>
    <w:qFormat/>
    <w:pPr>
      <w:ind w:left="848" w:right="821"/>
      <w:jc w:val="center"/>
    </w:pPr>
    <w:rPr>
      <w:b/>
      <w:bCs/>
      <w:sz w:val="36"/>
      <w:szCs w:val="36"/>
    </w:rPr>
  </w:style>
  <w:style w:type="paragraph" w:styleId="a6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ind w:left="737" w:firstLine="18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6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1"/>
    <w:qFormat/>
    <w:pPr>
      <w:ind w:left="1317"/>
      <w:outlineLvl w:val="1"/>
    </w:pPr>
    <w:rPr>
      <w:b/>
      <w:bCs/>
    </w:rPr>
  </w:style>
  <w:style w:type="paragraph" w:styleId="3">
    <w:name w:val="heading 3"/>
    <w:basedOn w:val="a"/>
    <w:next w:val="a"/>
    <w:uiPriority w:val="1"/>
    <w:qFormat/>
    <w:pPr>
      <w:ind w:left="568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ody Text"/>
    <w:basedOn w:val="a"/>
    <w:uiPriority w:val="1"/>
    <w:qFormat/>
    <w:pPr>
      <w:ind w:left="737"/>
    </w:pPr>
  </w:style>
  <w:style w:type="paragraph" w:styleId="a5">
    <w:name w:val="Title"/>
    <w:basedOn w:val="a"/>
    <w:uiPriority w:val="1"/>
    <w:qFormat/>
    <w:pPr>
      <w:ind w:left="848" w:right="821"/>
      <w:jc w:val="center"/>
    </w:pPr>
    <w:rPr>
      <w:b/>
      <w:bCs/>
      <w:sz w:val="36"/>
      <w:szCs w:val="36"/>
    </w:rPr>
  </w:style>
  <w:style w:type="paragraph" w:styleId="a6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ind w:left="737" w:firstLine="1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23</Pages>
  <Words>5447</Words>
  <Characters>31053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проведения занятий в Школе здоровья для пациентов</vt:lpstr>
    </vt:vector>
  </TitlesOfParts>
  <Company/>
  <LinksUpToDate>false</LinksUpToDate>
  <CharactersWithSpaces>36428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проведения занятий в Школе здоровья для пациентов</dc:title>
  <dc:creator>Natasha</dc:creator>
  <cp:lastModifiedBy>Медникова Алена Андреевна</cp:lastModifiedBy>
  <cp:revision>2</cp:revision>
  <dcterms:created xsi:type="dcterms:W3CDTF">2025-03-12T04:07:00Z</dcterms:created>
  <dcterms:modified xsi:type="dcterms:W3CDTF">2025-03-21T09:23:00Z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1049-11.2.0.9967</vt:lpwstr>
  </property>
</Properties>
</file>